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1F" w:rsidRDefault="004E4A1F" w:rsidP="004E4A1F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7F13B1E5" wp14:editId="319C8D3D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1F" w:rsidRDefault="004E4A1F" w:rsidP="004E4A1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2181F4" wp14:editId="5C8350E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A1F" w:rsidRPr="00BB69A5" w:rsidRDefault="004E4A1F" w:rsidP="004E4A1F">
      <w:pPr>
        <w:rPr>
          <w:b/>
          <w:sz w:val="24"/>
          <w:szCs w:val="24"/>
        </w:rPr>
      </w:pPr>
      <w:r w:rsidRPr="00BB69A5">
        <w:rPr>
          <w:sz w:val="24"/>
          <w:szCs w:val="24"/>
        </w:rPr>
        <w:t xml:space="preserve">        </w:t>
      </w:r>
      <w:r w:rsidRPr="00BB69A5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</w:t>
      </w:r>
    </w:p>
    <w:p w:rsidR="004E4A1F" w:rsidRPr="00BB69A5" w:rsidRDefault="004E4A1F" w:rsidP="004E4A1F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 xml:space="preserve">       MEĐIMURSKA ŽUPANIJA</w:t>
      </w:r>
    </w:p>
    <w:p w:rsidR="004E4A1F" w:rsidRPr="00BB69A5" w:rsidRDefault="004E4A1F" w:rsidP="004E4A1F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>OPĆINA SVETI JURAJ NA BREGU</w:t>
      </w:r>
    </w:p>
    <w:p w:rsidR="004E4A1F" w:rsidRDefault="004E4A1F" w:rsidP="004E4A1F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 xml:space="preserve">                          </w:t>
      </w:r>
      <w:r w:rsidR="003B4BD2">
        <w:rPr>
          <w:b/>
          <w:sz w:val="24"/>
          <w:szCs w:val="24"/>
        </w:rPr>
        <w:t xml:space="preserve">  </w:t>
      </w:r>
      <w:bookmarkStart w:id="0" w:name="_GoBack"/>
      <w:bookmarkEnd w:id="0"/>
      <w:r w:rsidRPr="00BB69A5">
        <w:rPr>
          <w:b/>
          <w:sz w:val="24"/>
          <w:szCs w:val="24"/>
        </w:rPr>
        <w:t>OPĆINSKO VIJEĆE</w:t>
      </w:r>
    </w:p>
    <w:p w:rsidR="004E4A1F" w:rsidRDefault="004E4A1F" w:rsidP="004E4A1F">
      <w:pPr>
        <w:rPr>
          <w:b/>
          <w:sz w:val="24"/>
          <w:szCs w:val="24"/>
        </w:rPr>
      </w:pPr>
    </w:p>
    <w:p w:rsidR="004E4A1F" w:rsidRPr="00BB69A5" w:rsidRDefault="004E4A1F" w:rsidP="004E4A1F">
      <w:pPr>
        <w:rPr>
          <w:sz w:val="24"/>
          <w:szCs w:val="24"/>
        </w:rPr>
      </w:pPr>
      <w:r w:rsidRPr="00BB69A5">
        <w:rPr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 w:rsidRPr="004E4A1F">
        <w:rPr>
          <w:sz w:val="24"/>
          <w:szCs w:val="24"/>
        </w:rPr>
        <w:t>024-02/23-03/06</w:t>
      </w:r>
    </w:p>
    <w:p w:rsidR="004E4A1F" w:rsidRPr="00BB69A5" w:rsidRDefault="004E4A1F" w:rsidP="004E4A1F">
      <w:pPr>
        <w:rPr>
          <w:sz w:val="24"/>
          <w:szCs w:val="24"/>
        </w:rPr>
      </w:pPr>
      <w:r w:rsidRPr="00BB69A5">
        <w:rPr>
          <w:sz w:val="24"/>
          <w:szCs w:val="24"/>
        </w:rPr>
        <w:t>URBROJ:</w:t>
      </w:r>
      <w:r w:rsidRPr="004E4A1F">
        <w:t xml:space="preserve"> </w:t>
      </w:r>
      <w:r w:rsidRPr="004E4A1F">
        <w:rPr>
          <w:sz w:val="24"/>
          <w:szCs w:val="24"/>
        </w:rPr>
        <w:t>2109-16-03-23-25</w:t>
      </w:r>
    </w:p>
    <w:p w:rsidR="004E4A1F" w:rsidRDefault="004E4A1F" w:rsidP="004E4A1F">
      <w:pPr>
        <w:rPr>
          <w:sz w:val="24"/>
          <w:szCs w:val="24"/>
        </w:rPr>
      </w:pPr>
      <w:r w:rsidRPr="00BB69A5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19. prosinca</w:t>
      </w:r>
      <w:r>
        <w:rPr>
          <w:sz w:val="24"/>
          <w:szCs w:val="24"/>
        </w:rPr>
        <w:t xml:space="preserve"> 2023.</w:t>
      </w:r>
    </w:p>
    <w:p w:rsidR="004E4A1F" w:rsidRDefault="004E4A1F" w:rsidP="004E4A1F">
      <w:pPr>
        <w:rPr>
          <w:sz w:val="24"/>
          <w:szCs w:val="24"/>
        </w:rPr>
      </w:pPr>
    </w:p>
    <w:p w:rsidR="004E4A1F" w:rsidRPr="00BB69A5" w:rsidRDefault="004E4A1F" w:rsidP="004E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35. Zakona o lokalnoj i područnoj (regionalnoj) samoupravi (“Narodne novine“, broj  </w:t>
      </w:r>
      <w:hyperlink r:id="rId8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33/01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9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60/01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0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129/05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1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109/07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2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125/08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3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36/09</w:t>
        </w:r>
      </w:hyperlink>
      <w:r>
        <w:rPr>
          <w:rFonts w:eastAsia="Times New Roman"/>
          <w:sz w:val="24"/>
          <w:szCs w:val="24"/>
          <w:lang w:eastAsia="hr-HR"/>
        </w:rPr>
        <w:t xml:space="preserve">, </w:t>
      </w:r>
      <w:hyperlink r:id="rId14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150/11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5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144/12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6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19/13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7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137/15</w:t>
        </w:r>
      </w:hyperlink>
      <w:r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8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123/17</w:t>
        </w:r>
      </w:hyperlink>
      <w:r w:rsidRPr="00B910D4">
        <w:rPr>
          <w:rFonts w:eastAsia="Times New Roman"/>
          <w:sz w:val="24"/>
          <w:szCs w:val="24"/>
          <w:lang w:eastAsia="hr-HR"/>
        </w:rPr>
        <w:t>, </w:t>
      </w:r>
      <w:hyperlink r:id="rId19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98/19</w:t>
        </w:r>
      </w:hyperlink>
      <w:r>
        <w:rPr>
          <w:rFonts w:eastAsia="Times New Roman"/>
          <w:sz w:val="24"/>
          <w:szCs w:val="24"/>
          <w:lang w:eastAsia="hr-HR"/>
        </w:rPr>
        <w:t xml:space="preserve"> i </w:t>
      </w:r>
      <w:hyperlink r:id="rId20" w:tgtFrame="_blank" w:history="1">
        <w:r w:rsidRPr="00B910D4">
          <w:rPr>
            <w:rFonts w:eastAsia="Times New Roman"/>
            <w:sz w:val="24"/>
            <w:szCs w:val="24"/>
            <w:lang w:eastAsia="hr-HR"/>
          </w:rPr>
          <w:t>144/20</w:t>
        </w:r>
      </w:hyperlink>
      <w:r>
        <w:rPr>
          <w:rFonts w:eastAsia="Times New Roman"/>
          <w:sz w:val="24"/>
          <w:szCs w:val="24"/>
          <w:lang w:eastAsia="hr-HR"/>
        </w:rPr>
        <w:t>) i</w:t>
      </w:r>
      <w:r>
        <w:rPr>
          <w:sz w:val="24"/>
          <w:szCs w:val="24"/>
        </w:rPr>
        <w:t xml:space="preserve"> članka 28. Statuta Općine Sveti Juraj na Bregu („Službeni glasnik Međimurske županije“, broj 8/21) Općinsko vijeće Općine S</w:t>
      </w:r>
      <w:r>
        <w:rPr>
          <w:sz w:val="24"/>
          <w:szCs w:val="24"/>
        </w:rPr>
        <w:t>veti Juraj na Bregu na svojoj 16. sjednici, održanoj 19. prosinca</w:t>
      </w:r>
      <w:r>
        <w:rPr>
          <w:sz w:val="24"/>
          <w:szCs w:val="24"/>
        </w:rPr>
        <w:t xml:space="preserve"> 2023. godine, donijelo je</w:t>
      </w:r>
    </w:p>
    <w:p w:rsidR="004E4A1F" w:rsidRDefault="004E4A1F" w:rsidP="004E4A1F">
      <w:pPr>
        <w:rPr>
          <w:sz w:val="24"/>
          <w:szCs w:val="24"/>
        </w:rPr>
      </w:pPr>
    </w:p>
    <w:p w:rsidR="004E4A1F" w:rsidRPr="00E91B41" w:rsidRDefault="004E4A1F" w:rsidP="004E4A1F">
      <w:pPr>
        <w:rPr>
          <w:b/>
          <w:i/>
        </w:rPr>
      </w:pPr>
    </w:p>
    <w:p w:rsidR="004E4A1F" w:rsidRDefault="004E4A1F" w:rsidP="004E4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Rezoluciju</w:t>
      </w:r>
      <w:r w:rsidRPr="00BB69A5">
        <w:rPr>
          <w:b/>
          <w:sz w:val="24"/>
          <w:szCs w:val="24"/>
        </w:rPr>
        <w:t xml:space="preserve"> Općinskog vijeća Općine Sveti Juraj na Bregu o </w:t>
      </w:r>
    </w:p>
    <w:p w:rsidR="004E4A1F" w:rsidRDefault="004E4A1F" w:rsidP="004E4A1F">
      <w:pPr>
        <w:jc w:val="center"/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 xml:space="preserve">PROGLAŠENJU OPĆINE SVETI JURAJ NA BREGU </w:t>
      </w:r>
    </w:p>
    <w:p w:rsidR="004E4A1F" w:rsidRPr="00BB69A5" w:rsidRDefault="004E4A1F" w:rsidP="004E4A1F">
      <w:pPr>
        <w:jc w:val="center"/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>sigurnim mjestom za žene</w:t>
      </w:r>
    </w:p>
    <w:p w:rsidR="004E4A1F" w:rsidRPr="00BB69A5" w:rsidRDefault="004E4A1F" w:rsidP="004E4A1F"/>
    <w:p w:rsidR="004E4A1F" w:rsidRPr="00BB69A5" w:rsidRDefault="004E4A1F" w:rsidP="004E4A1F"/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Opću deklaraciju o ljudskim pravima,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članke 2. i 3. Ugovora o Europskoj uniji (UEU),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Povelju Europske unije o temeljnim pravima,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 xml:space="preserve">uzimajući u obzir Europsku konvenciju o ljudskim pravima i relevantnu sudsku praksu Europskog suda za ljudska prava, 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Konvenciju Vijeća Europe o sprečavanju i borbi protiv nasilja nad ženama i nasilja u obitelji (</w:t>
      </w:r>
      <w:proofErr w:type="spellStart"/>
      <w:r>
        <w:rPr>
          <w:color w:val="000000" w:themeColor="text1"/>
        </w:rPr>
        <w:t>Istanbulska</w:t>
      </w:r>
      <w:proofErr w:type="spellEnd"/>
      <w:r>
        <w:rPr>
          <w:color w:val="000000" w:themeColor="text1"/>
        </w:rPr>
        <w:t xml:space="preserve"> konvencija),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Prijedlog direktive Komisije od 8. ožujka 2022. o suzbijanju nasilja nad ženama i nasilja u obitelji,</w:t>
      </w:r>
    </w:p>
    <w:p w:rsidR="004E4A1F" w:rsidRPr="00E91B41" w:rsidRDefault="004E4A1F" w:rsidP="004E4A1F">
      <w:pPr>
        <w:pStyle w:val="StandardWeb"/>
        <w:numPr>
          <w:ilvl w:val="0"/>
          <w:numId w:val="3"/>
        </w:numPr>
        <w:shd w:val="clear" w:color="auto" w:fill="FFFFFF"/>
        <w:tabs>
          <w:tab w:val="clear" w:pos="0"/>
        </w:tabs>
        <w:spacing w:before="0" w:beforeAutospacing="0" w:after="0" w:afterAutospacing="0" w:line="288" w:lineRule="auto"/>
        <w:ind w:left="8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uzimajući u obzir komunikaciju Komisije od 12. studenoga 2020. naslovljenu „Unija ravnopravnosti: Strategija za rodnu ravnopravnost za razdoblje 2020. – 2025.”,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Europskog parlamenta od 16. rujna 2021. u kojoj se Komisiji preporučuje da rodno uvjetovano nasilje uvrsti u članak 83. stavak 1. UFEU-a kao novo područje kriminaliteta,</w:t>
      </w:r>
    </w:p>
    <w:p w:rsidR="004E4A1F" w:rsidRPr="00CF1E0A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Europskog parlamenta od 12. veljače 2020. o strategiji EU-a za okončanje genitalnog sakaćenja žena diljem svijeta,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Konvenciju UN-a o uklanjanju svih oblika diskriminacije žena,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lastRenderedPageBreak/>
        <w:t>uzimajući u obzir Konvenciju br. 190 Međunarodne organizacije rada o iskorjenjivanju nasilja i uznemiravanja u svijetu rada,</w:t>
      </w:r>
    </w:p>
    <w:p w:rsidR="004E4A1F" w:rsidRPr="00CF1E0A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cilj održivog razvoja Ujedinjenih naroda broj 5 – „Rodna ravnopravnost”,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 xml:space="preserve">uzimajući u obzir Rezoluciju Europskog parlamenta od 14. prosinca 2021. s preporukama Komisiji o borbi protiv rodno uvjetovanog nasilja na </w:t>
      </w:r>
      <w:proofErr w:type="spellStart"/>
      <w:r>
        <w:t>internetu</w:t>
      </w:r>
      <w:proofErr w:type="spellEnd"/>
      <w:r>
        <w:t>,</w:t>
      </w:r>
    </w:p>
    <w:p w:rsidR="004E4A1F" w:rsidRPr="00E91B41" w:rsidRDefault="004E4A1F" w:rsidP="004E4A1F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vlade Autonomne zajednice Valencija o proglašenju te regije sigurnim mjestom za žene,</w:t>
      </w:r>
    </w:p>
    <w:p w:rsidR="004E4A1F" w:rsidRPr="00E91B41" w:rsidRDefault="004E4A1F" w:rsidP="004E4A1F"/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je ravnopravnost žena i muškaraca jedna od temeljnih vrijednosti Europske unije i jedno od temeljnih prava utvrđenih u Ugovorima i Povelji Europske unije o temeljnim pravima; 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borba protiv rodno uvjetovanog nasilja u EU-u odgovornost svih nas koja iziskuje zajedničke napore i djelovanje na svim razinama vlasti, prije svega lokalnih i regionalnih vlasti, koje u tome imaju ključnu ulogu jer su najbliže građanima i građankama;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iskorjenjivanje rodno uvjetovanog nasilja, uključujući nasilje muškaraca nad ženama i djevojčicama, jedan od preduvjeta za postizanje stvarne rodne ravnopravnosti;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rodno uvjetovano nasilje na </w:t>
      </w:r>
      <w:proofErr w:type="spellStart"/>
      <w:r>
        <w:t>internetu</w:t>
      </w:r>
      <w:proofErr w:type="spellEnd"/>
      <w:r>
        <w:t xml:space="preserve">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bi rodno uvjetovana ubojstva žena i djevojčica (</w:t>
      </w:r>
      <w:proofErr w:type="spellStart"/>
      <w:r>
        <w:t>femicidi</w:t>
      </w:r>
      <w:proofErr w:type="spellEnd"/>
      <w:r>
        <w:t>) trebala biti zasebna kategorija zločina jer se rodno neutralnim pojmom ubojstva zanemaruju okolnosti nejednakosti, ugnjetavanja i sustavnog nasilja nad ženama;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bi u EU-u rodno uvjetovano nasilje trebalo utvrditi kao područje kriminaliteta u okviru </w:t>
      </w:r>
      <w:proofErr w:type="spellStart"/>
      <w:r>
        <w:t>Ugovorâ</w:t>
      </w:r>
      <w:proofErr w:type="spellEnd"/>
      <w:r>
        <w:t>; </w:t>
      </w:r>
    </w:p>
    <w:p w:rsidR="004E4A1F" w:rsidRPr="00E91B41" w:rsidRDefault="004E4A1F" w:rsidP="004E4A1F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prakse ranog i prisilnog braka te genitalnog sakaćenja žena, koje se prenose kroz tradicije i kulturu, predstavljaju kršenje prava na slobodu, ljudsko dostojanstvo i tjelesni integritet;</w:t>
      </w:r>
    </w:p>
    <w:p w:rsidR="004E4A1F" w:rsidRPr="000C7FC7" w:rsidRDefault="004E4A1F" w:rsidP="004E4A1F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2"/>
          <w:szCs w:val="22"/>
        </w:rPr>
      </w:pPr>
      <w:r w:rsidRPr="000C7FC7">
        <w:rPr>
          <w:sz w:val="22"/>
          <w:szCs w:val="22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:rsidR="004E4A1F" w:rsidRPr="000C7FC7" w:rsidRDefault="004E4A1F" w:rsidP="004E4A1F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</w:t>
      </w:r>
      <w:proofErr w:type="spellStart"/>
      <w:r w:rsidRPr="000C7FC7">
        <w:rPr>
          <w:sz w:val="24"/>
          <w:szCs w:val="24"/>
        </w:rPr>
        <w:t>mizoginije</w:t>
      </w:r>
      <w:proofErr w:type="spellEnd"/>
      <w:r w:rsidRPr="000C7FC7">
        <w:rPr>
          <w:sz w:val="24"/>
          <w:szCs w:val="24"/>
        </w:rPr>
        <w:t xml:space="preserve"> i rodnih stereotipa; </w:t>
      </w:r>
    </w:p>
    <w:p w:rsidR="004E4A1F" w:rsidRPr="000C7FC7" w:rsidRDefault="004E4A1F" w:rsidP="004E4A1F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lastRenderedPageBreak/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:rsidR="004E4A1F" w:rsidRPr="000C7FC7" w:rsidRDefault="004E4A1F" w:rsidP="004E4A1F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:rsidR="004E4A1F" w:rsidRPr="00BB69A5" w:rsidRDefault="004E4A1F" w:rsidP="004E4A1F"/>
    <w:p w:rsidR="004E4A1F" w:rsidRPr="000C7FC7" w:rsidRDefault="004E4A1F" w:rsidP="004E4A1F">
      <w:pPr>
        <w:rPr>
          <w:sz w:val="24"/>
          <w:szCs w:val="24"/>
        </w:rPr>
      </w:pPr>
      <w:r w:rsidRPr="000C7FC7">
        <w:rPr>
          <w:sz w:val="24"/>
          <w:szCs w:val="24"/>
        </w:rPr>
        <w:t>S obzirom na navedeno, Općinsko vijeće Općine Sveti Juraj na Bregu obvezuje se:</w:t>
      </w:r>
    </w:p>
    <w:p w:rsidR="004E4A1F" w:rsidRPr="00E91B41" w:rsidRDefault="004E4A1F" w:rsidP="004E4A1F"/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proglasiti OPĆINU SVETI JURAJ NA BREGU sigurnim mjes</w:t>
      </w:r>
      <w:r>
        <w:rPr>
          <w:sz w:val="24"/>
          <w:szCs w:val="24"/>
        </w:rPr>
        <w:t>tom za žene i raditi na uvođenju</w:t>
      </w:r>
      <w:r w:rsidRPr="000C7FC7">
        <w:rPr>
          <w:sz w:val="24"/>
          <w:szCs w:val="24"/>
        </w:rPr>
        <w:t xml:space="preserve"> javnih politika kojima se, s jedne strane, jamči sigurnost žena i, s druge, izričito kažnjava svaki oblik rodno uvjetovanog nasilja, i pri tom osigurati potpunu i ravnopravnu uključenost žena u taj proces;</w:t>
      </w:r>
    </w:p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izravan i neprekidan pristup specijaliziranim, sigurnim i sveobuhvatnim uslugama potpore za žrtve rodno uvjetovanog nasilja, uključujući nasilje u obitelji i seksualno nasilje;</w:t>
      </w:r>
    </w:p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prikupljati administrativne podatke o nasilju koje vrše partneri u intimnim vezama i o rodno uvjetovanim ubojstvima žena i djevojčica (</w:t>
      </w:r>
      <w:proofErr w:type="spellStart"/>
      <w:r w:rsidRPr="000C7FC7">
        <w:rPr>
          <w:sz w:val="24"/>
          <w:szCs w:val="24"/>
        </w:rPr>
        <w:t>femicidi</w:t>
      </w:r>
      <w:proofErr w:type="spellEnd"/>
      <w:r w:rsidRPr="000C7FC7">
        <w:rPr>
          <w:sz w:val="24"/>
          <w:szCs w:val="24"/>
        </w:rPr>
        <w:t>) kako bi se doprinijelo njihovom sprečavanju i suzbijanju;</w:t>
      </w:r>
    </w:p>
    <w:p w:rsidR="004E4A1F" w:rsidRPr="000C7FC7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 xml:space="preserve">primjenjivati politiku nulte tolerancije na seksističko oglašavanje, među ostalim na javnim mjestima i u javnom prijevozu, jer se njime promiču štetni rodni stereotipi; </w:t>
      </w:r>
    </w:p>
    <w:p w:rsidR="004E4A1F" w:rsidRPr="007F16C3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:rsidR="004E4A1F" w:rsidRPr="007F16C3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bookmarkStart w:id="1" w:name="_Hlk126162679"/>
      <w:r w:rsidRPr="007F16C3">
        <w:rPr>
          <w:sz w:val="24"/>
          <w:szCs w:val="24"/>
        </w:rPr>
        <w:t xml:space="preserve">organizirati obrazovne programe / osposobljavanje / prezentacije u školama i na sveučilištima kao dopunu </w:t>
      </w:r>
      <w:proofErr w:type="spellStart"/>
      <w:r w:rsidRPr="007F16C3">
        <w:rPr>
          <w:sz w:val="24"/>
          <w:szCs w:val="24"/>
        </w:rPr>
        <w:t>kurikulumima</w:t>
      </w:r>
      <w:proofErr w:type="spellEnd"/>
      <w:r w:rsidRPr="007F16C3">
        <w:rPr>
          <w:sz w:val="24"/>
          <w:szCs w:val="24"/>
        </w:rPr>
        <w:t xml:space="preserve"> o odnosima i seksualnosti te od rane dobi povećavati osviještenost o posljedicama rodno uvjetovanog uznemiravanja i nasilja;</w:t>
      </w:r>
      <w:bookmarkEnd w:id="1"/>
    </w:p>
    <w:p w:rsidR="004E4A1F" w:rsidRPr="007F16C3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:rsidR="004E4A1F" w:rsidRPr="007F16C3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 xml:space="preserve">pomno pratiti situaciju i imati nultu toleranciju prema svim oblicima rodno uvjetovanog nasilja na </w:t>
      </w:r>
      <w:proofErr w:type="spellStart"/>
      <w:r w:rsidRPr="007F16C3">
        <w:rPr>
          <w:sz w:val="24"/>
          <w:szCs w:val="24"/>
        </w:rPr>
        <w:t>internetu</w:t>
      </w:r>
      <w:proofErr w:type="spellEnd"/>
      <w:r w:rsidRPr="007F16C3">
        <w:rPr>
          <w:sz w:val="24"/>
          <w:szCs w:val="24"/>
        </w:rPr>
        <w:t>;</w:t>
      </w:r>
    </w:p>
    <w:p w:rsidR="004E4A1F" w:rsidRPr="007F16C3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lastRenderedPageBreak/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:rsidR="004E4A1F" w:rsidRPr="00B910D4" w:rsidRDefault="004E4A1F" w:rsidP="004E4A1F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B910D4">
        <w:rPr>
          <w:sz w:val="24"/>
          <w:szCs w:val="24"/>
        </w:rPr>
        <w:t xml:space="preserve">služiti kao primjer u organizaciji i radu lokalnih/regionalnih vlasti. </w:t>
      </w:r>
    </w:p>
    <w:p w:rsidR="004E4A1F" w:rsidRPr="00CF1E0A" w:rsidRDefault="004E4A1F" w:rsidP="004E4A1F"/>
    <w:p w:rsidR="004E4A1F" w:rsidRDefault="004E4A1F" w:rsidP="004E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Ova Rezolucija objavit će se na mrežnim stranicama Općine Sveti Juraj na Bregu.</w:t>
      </w:r>
    </w:p>
    <w:p w:rsidR="004E4A1F" w:rsidRDefault="004E4A1F" w:rsidP="004E4A1F">
      <w:pPr>
        <w:jc w:val="both"/>
      </w:pPr>
    </w:p>
    <w:p w:rsidR="004E4A1F" w:rsidRPr="00B910D4" w:rsidRDefault="004E4A1F" w:rsidP="004E4A1F">
      <w:pPr>
        <w:jc w:val="both"/>
        <w:rPr>
          <w:b/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910D4">
        <w:rPr>
          <w:sz w:val="24"/>
          <w:szCs w:val="24"/>
        </w:rPr>
        <w:t xml:space="preserve"> </w:t>
      </w:r>
      <w:r w:rsidRPr="00B910D4">
        <w:rPr>
          <w:b/>
          <w:sz w:val="24"/>
          <w:szCs w:val="24"/>
        </w:rPr>
        <w:t>PRESJEDNIK</w:t>
      </w:r>
    </w:p>
    <w:p w:rsidR="004E4A1F" w:rsidRPr="00B910D4" w:rsidRDefault="004E4A1F" w:rsidP="004E4A1F">
      <w:pPr>
        <w:jc w:val="both"/>
        <w:rPr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910D4">
        <w:rPr>
          <w:sz w:val="24"/>
          <w:szCs w:val="24"/>
        </w:rPr>
        <w:t xml:space="preserve"> Općinskog vijeća</w:t>
      </w:r>
    </w:p>
    <w:p w:rsidR="004E4A1F" w:rsidRPr="00B910D4" w:rsidRDefault="004E4A1F" w:rsidP="004E4A1F">
      <w:pPr>
        <w:jc w:val="both"/>
        <w:rPr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910D4">
        <w:rPr>
          <w:sz w:val="24"/>
          <w:szCs w:val="24"/>
        </w:rPr>
        <w:t>Anđelko Kovačić</w:t>
      </w:r>
    </w:p>
    <w:p w:rsidR="004E4A1F" w:rsidRPr="00B910D4" w:rsidRDefault="004E4A1F" w:rsidP="004E4A1F">
      <w:pPr>
        <w:jc w:val="both"/>
        <w:rPr>
          <w:sz w:val="24"/>
          <w:szCs w:val="24"/>
        </w:rPr>
      </w:pPr>
    </w:p>
    <w:p w:rsidR="009667F9" w:rsidRDefault="009667F9"/>
    <w:sectPr w:rsidR="009667F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2CB"/>
    <w:multiLevelType w:val="multilevel"/>
    <w:tmpl w:val="0840ED96"/>
    <w:lvl w:ilvl="0">
      <w:start w:val="1"/>
      <w:numFmt w:val="upperLetter"/>
      <w:lvlText w:val="%1."/>
      <w:lvlJc w:val="left"/>
      <w:pPr>
        <w:ind w:left="1353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F"/>
    <w:rsid w:val="003B4BD2"/>
    <w:rsid w:val="004E4A1F"/>
    <w:rsid w:val="009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1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E4A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E4A1F"/>
    <w:pPr>
      <w:spacing w:line="288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1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E4A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E4A1F"/>
    <w:pPr>
      <w:spacing w:line="288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2615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85" TargetMode="External"/><Relationship Id="rId20" Type="http://schemas.openxmlformats.org/officeDocument/2006/relationships/hyperlink" Target="https://www.zakon.hr/cms.htm?id=467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68" TargetMode="Externa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40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2023-12-22T08:31:00Z</cp:lastPrinted>
  <dcterms:created xsi:type="dcterms:W3CDTF">2023-12-22T08:19:00Z</dcterms:created>
  <dcterms:modified xsi:type="dcterms:W3CDTF">2023-12-22T08:33:00Z</dcterms:modified>
</cp:coreProperties>
</file>