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2EF" w:rsidRPr="00E732EF" w:rsidRDefault="00E732EF" w:rsidP="00E732EF">
      <w:pPr>
        <w:spacing w:after="0" w:line="240" w:lineRule="auto"/>
        <w:rPr>
          <w:rFonts w:ascii="Times New Roman" w:eastAsia="Calibri" w:hAnsi="Times New Roman" w:cs="Arial"/>
        </w:rPr>
      </w:pPr>
      <w:r w:rsidRPr="00E732EF">
        <w:rPr>
          <w:rFonts w:ascii="Times New Roman" w:eastAsia="Calibri" w:hAnsi="Times New Roman" w:cs="Arial"/>
        </w:rPr>
        <w:t xml:space="preserve">                           </w:t>
      </w:r>
      <w:r>
        <w:rPr>
          <w:rFonts w:ascii="Times New Roman" w:eastAsia="Calibri" w:hAnsi="Times New Roman" w:cs="Arial"/>
          <w:noProof/>
          <w:lang w:eastAsia="hr-HR"/>
        </w:rPr>
        <w:drawing>
          <wp:inline distT="0" distB="0" distL="0" distR="0">
            <wp:extent cx="387985" cy="457200"/>
            <wp:effectExtent l="0" t="0" r="0" b="0"/>
            <wp:docPr id="20" name="Slika 20" descr="61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61117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85" cy="457200"/>
                    </a:xfrm>
                    <a:prstGeom prst="rect">
                      <a:avLst/>
                    </a:prstGeom>
                    <a:noFill/>
                    <a:ln>
                      <a:noFill/>
                    </a:ln>
                  </pic:spPr>
                </pic:pic>
              </a:graphicData>
            </a:graphic>
          </wp:inline>
        </w:drawing>
      </w:r>
    </w:p>
    <w:p w:rsidR="00E732EF" w:rsidRPr="00E732EF" w:rsidRDefault="00E732EF" w:rsidP="00E732EF">
      <w:pPr>
        <w:spacing w:after="0" w:line="240" w:lineRule="auto"/>
        <w:rPr>
          <w:rFonts w:ascii="Times New Roman" w:eastAsia="Calibri" w:hAnsi="Times New Roman" w:cs="Arial"/>
          <w:b/>
          <w:noProof/>
        </w:rPr>
      </w:pPr>
      <w:r w:rsidRPr="00E732EF">
        <w:rPr>
          <w:rFonts w:ascii="Times New Roman" w:eastAsia="Calibri" w:hAnsi="Times New Roman" w:cs="Arial"/>
          <w:b/>
          <w:noProof/>
        </w:rPr>
        <w:t xml:space="preserve">          REPUBLIKA HRVATSKA</w:t>
      </w:r>
    </w:p>
    <w:p w:rsidR="00E732EF" w:rsidRPr="00E732EF" w:rsidRDefault="00E732EF" w:rsidP="00E732EF">
      <w:pPr>
        <w:spacing w:after="0" w:line="240" w:lineRule="auto"/>
        <w:rPr>
          <w:rFonts w:ascii="Times New Roman" w:eastAsia="Calibri" w:hAnsi="Times New Roman" w:cs="Arial"/>
          <w:b/>
          <w:noProof/>
        </w:rPr>
      </w:pPr>
      <w:r w:rsidRPr="00E732EF">
        <w:rPr>
          <w:rFonts w:ascii="Times New Roman" w:eastAsia="Calibri" w:hAnsi="Times New Roman" w:cs="Arial"/>
          <w:b/>
          <w:noProof/>
        </w:rPr>
        <w:t xml:space="preserve">         MEĐIMURSKA ŽUPANIJA</w:t>
      </w:r>
    </w:p>
    <w:p w:rsidR="00E732EF" w:rsidRPr="00E732EF" w:rsidRDefault="00E732EF" w:rsidP="00E732EF">
      <w:pPr>
        <w:spacing w:after="0" w:line="240" w:lineRule="auto"/>
        <w:rPr>
          <w:rFonts w:ascii="Times New Roman" w:eastAsia="Calibri" w:hAnsi="Times New Roman" w:cs="Arial"/>
          <w:b/>
          <w:noProof/>
        </w:rPr>
      </w:pPr>
      <w:r w:rsidRPr="00E732EF">
        <w:rPr>
          <w:rFonts w:ascii="Times New Roman" w:eastAsia="Calibri" w:hAnsi="Times New Roman" w:cs="Arial"/>
          <w:b/>
          <w:noProof/>
        </w:rPr>
        <w:t xml:space="preserve">         Općina Sveti Juraj na Bregu</w:t>
      </w:r>
    </w:p>
    <w:p w:rsidR="00E732EF" w:rsidRPr="00E732EF" w:rsidRDefault="00E732EF" w:rsidP="00E732EF">
      <w:pPr>
        <w:spacing w:after="0" w:line="240" w:lineRule="auto"/>
        <w:rPr>
          <w:rFonts w:ascii="Times New Roman" w:eastAsia="Calibri" w:hAnsi="Times New Roman" w:cs="Times New Roman"/>
          <w:b/>
          <w:noProof/>
        </w:rPr>
      </w:pPr>
      <w:r w:rsidRPr="00E732EF">
        <w:rPr>
          <w:rFonts w:ascii="Times New Roman" w:eastAsia="Calibri" w:hAnsi="Times New Roman" w:cs="Times New Roman"/>
          <w:b/>
          <w:noProof/>
        </w:rPr>
        <w:t xml:space="preserve">       Pleškovec 29,  40311 Lopatinec</w:t>
      </w:r>
    </w:p>
    <w:p w:rsidR="00E732EF" w:rsidRDefault="00E732EF" w:rsidP="00E732EF">
      <w:pPr>
        <w:spacing w:after="0" w:line="240" w:lineRule="auto"/>
        <w:rPr>
          <w:rFonts w:ascii="Times New Roman" w:eastAsia="Calibri" w:hAnsi="Times New Roman" w:cs="Times New Roman"/>
          <w:b/>
          <w:noProof/>
          <w:sz w:val="18"/>
          <w:szCs w:val="18"/>
        </w:rPr>
      </w:pPr>
      <w:r w:rsidRPr="00E732EF">
        <w:rPr>
          <w:rFonts w:ascii="Times New Roman" w:eastAsia="Calibri" w:hAnsi="Times New Roman" w:cs="Times New Roman"/>
          <w:b/>
          <w:noProof/>
          <w:sz w:val="18"/>
          <w:szCs w:val="18"/>
        </w:rPr>
        <w:t xml:space="preserve">             Tel: 040/855-305 Fax 040/855-294   </w:t>
      </w:r>
    </w:p>
    <w:p w:rsidR="00E732EF" w:rsidRPr="00E732EF" w:rsidRDefault="00E732EF" w:rsidP="00E732EF">
      <w:pPr>
        <w:spacing w:after="0" w:line="240" w:lineRule="auto"/>
        <w:rPr>
          <w:rFonts w:ascii="Times New Roman" w:eastAsia="Calibri" w:hAnsi="Times New Roman" w:cs="Times New Roman"/>
          <w:b/>
          <w:noProof/>
          <w:sz w:val="18"/>
          <w:szCs w:val="18"/>
        </w:rPr>
      </w:pPr>
    </w:p>
    <w:p w:rsidR="00E732EF" w:rsidRPr="00E732EF" w:rsidRDefault="00E732EF" w:rsidP="00E732EF">
      <w:pPr>
        <w:spacing w:after="0" w:line="240" w:lineRule="auto"/>
        <w:rPr>
          <w:rFonts w:ascii="Times New Roman" w:eastAsia="Calibri" w:hAnsi="Times New Roman" w:cs="Times New Roman"/>
          <w:b/>
          <w:noProof/>
          <w:sz w:val="18"/>
          <w:szCs w:val="18"/>
        </w:rPr>
      </w:pPr>
    </w:p>
    <w:p w:rsidR="00E732EF" w:rsidRPr="00E732EF" w:rsidRDefault="00E732EF" w:rsidP="00E732EF">
      <w:pPr>
        <w:autoSpaceDE w:val="0"/>
        <w:autoSpaceDN w:val="0"/>
        <w:adjustRightInd w:val="0"/>
        <w:spacing w:after="0"/>
        <w:rPr>
          <w:rFonts w:ascii="Calibri" w:eastAsia="Calibri" w:hAnsi="Calibri" w:cs="Arial"/>
        </w:rPr>
      </w:pPr>
      <w:r w:rsidRPr="00E732EF">
        <w:rPr>
          <w:rFonts w:ascii="Calibri" w:eastAsia="Calibri" w:hAnsi="Calibri" w:cs="Arial"/>
        </w:rPr>
        <w:t xml:space="preserve">                                                                             </w:t>
      </w:r>
      <w:r>
        <w:rPr>
          <w:rFonts w:ascii="Calibri" w:eastAsia="Calibri" w:hAnsi="Calibri" w:cs="Arial"/>
          <w:noProof/>
          <w:lang w:eastAsia="hr-HR"/>
        </w:rPr>
        <w:drawing>
          <wp:inline distT="0" distB="0" distL="0" distR="0">
            <wp:extent cx="871220" cy="1164590"/>
            <wp:effectExtent l="0" t="0" r="5080" b="0"/>
            <wp:docPr id="19" name="Slika 19" descr="Image result for grb općine sveti juraj na br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 result for grb općine sveti juraj na breg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220" cy="1164590"/>
                    </a:xfrm>
                    <a:prstGeom prst="rect">
                      <a:avLst/>
                    </a:prstGeom>
                    <a:noFill/>
                    <a:ln>
                      <a:noFill/>
                    </a:ln>
                  </pic:spPr>
                </pic:pic>
              </a:graphicData>
            </a:graphic>
          </wp:inline>
        </w:drawing>
      </w:r>
    </w:p>
    <w:p w:rsidR="00E732EF" w:rsidRPr="00E732EF" w:rsidRDefault="00E732EF" w:rsidP="00E732EF">
      <w:pPr>
        <w:rPr>
          <w:rFonts w:ascii="Times New Roman" w:eastAsia="Calibri" w:hAnsi="Times New Roman" w:cs="Times New Roman"/>
          <w:sz w:val="32"/>
          <w:szCs w:val="32"/>
        </w:rPr>
      </w:pPr>
      <w:r w:rsidRPr="00E732EF">
        <w:rPr>
          <w:rFonts w:ascii="Times New Roman" w:eastAsia="Calibri" w:hAnsi="Times New Roman" w:cs="Times New Roman"/>
          <w:sz w:val="32"/>
          <w:szCs w:val="32"/>
        </w:rPr>
        <w:t xml:space="preserve"> </w:t>
      </w:r>
    </w:p>
    <w:p w:rsidR="00E732EF" w:rsidRPr="00661C0A" w:rsidRDefault="00E732EF" w:rsidP="00E732EF">
      <w:pPr>
        <w:jc w:val="center"/>
        <w:rPr>
          <w:rFonts w:ascii="Times New Roman" w:eastAsia="Calibri" w:hAnsi="Times New Roman" w:cs="Times New Roman"/>
          <w:b/>
          <w:bCs/>
          <w:sz w:val="44"/>
          <w:szCs w:val="44"/>
        </w:rPr>
      </w:pPr>
    </w:p>
    <w:p w:rsidR="00E732EF" w:rsidRPr="00661C0A" w:rsidRDefault="00E732EF" w:rsidP="00E732EF">
      <w:pPr>
        <w:jc w:val="center"/>
        <w:rPr>
          <w:rFonts w:ascii="Times New Roman" w:eastAsia="Calibri" w:hAnsi="Times New Roman" w:cs="Times New Roman"/>
          <w:b/>
          <w:bCs/>
          <w:sz w:val="44"/>
          <w:szCs w:val="44"/>
        </w:rPr>
      </w:pPr>
      <w:r w:rsidRPr="00661C0A">
        <w:rPr>
          <w:rFonts w:ascii="Times New Roman" w:eastAsia="Calibri" w:hAnsi="Times New Roman" w:cs="Times New Roman"/>
          <w:b/>
          <w:bCs/>
          <w:sz w:val="44"/>
          <w:szCs w:val="44"/>
        </w:rPr>
        <w:t>P L A N</w:t>
      </w:r>
    </w:p>
    <w:p w:rsidR="00E732EF" w:rsidRPr="00661C0A" w:rsidRDefault="00E732EF" w:rsidP="00E732EF">
      <w:pPr>
        <w:jc w:val="center"/>
        <w:rPr>
          <w:rFonts w:ascii="Times New Roman" w:eastAsia="Calibri" w:hAnsi="Times New Roman" w:cs="Times New Roman"/>
          <w:b/>
          <w:sz w:val="36"/>
          <w:szCs w:val="36"/>
        </w:rPr>
      </w:pPr>
      <w:r w:rsidRPr="00661C0A">
        <w:rPr>
          <w:rFonts w:ascii="Times New Roman" w:eastAsia="Calibri" w:hAnsi="Times New Roman" w:cs="Times New Roman"/>
          <w:b/>
          <w:sz w:val="36"/>
          <w:szCs w:val="36"/>
        </w:rPr>
        <w:t>DJELOVANJA U PODRUČJU PRIRODNIH NEPOGODA</w:t>
      </w:r>
    </w:p>
    <w:p w:rsidR="00E732EF" w:rsidRPr="00661C0A" w:rsidRDefault="00E732EF" w:rsidP="00E732EF">
      <w:pPr>
        <w:jc w:val="center"/>
        <w:rPr>
          <w:rFonts w:ascii="Times New Roman" w:eastAsia="Calibri" w:hAnsi="Times New Roman" w:cs="Times New Roman"/>
          <w:b/>
          <w:sz w:val="36"/>
          <w:szCs w:val="36"/>
        </w:rPr>
      </w:pPr>
      <w:r w:rsidRPr="00661C0A">
        <w:rPr>
          <w:rFonts w:ascii="Times New Roman" w:eastAsia="Calibri" w:hAnsi="Times New Roman" w:cs="Times New Roman"/>
          <w:b/>
          <w:sz w:val="36"/>
          <w:szCs w:val="36"/>
        </w:rPr>
        <w:t>- ZA 2022. GODINU</w:t>
      </w:r>
    </w:p>
    <w:p w:rsidR="00E732EF" w:rsidRPr="00661C0A" w:rsidRDefault="00E732EF" w:rsidP="00E732EF">
      <w:pPr>
        <w:tabs>
          <w:tab w:val="center" w:pos="4535"/>
        </w:tabs>
        <w:jc w:val="center"/>
        <w:rPr>
          <w:rFonts w:ascii="Times New Roman" w:eastAsia="Calibri" w:hAnsi="Times New Roman" w:cs="Times New Roman"/>
          <w:b/>
          <w:sz w:val="36"/>
          <w:szCs w:val="36"/>
        </w:rPr>
      </w:pPr>
      <w:r w:rsidRPr="00661C0A">
        <w:rPr>
          <w:rFonts w:ascii="Times New Roman" w:eastAsia="Calibri" w:hAnsi="Times New Roman" w:cs="Times New Roman"/>
          <w:b/>
          <w:sz w:val="36"/>
          <w:szCs w:val="36"/>
        </w:rPr>
        <w:t>Općina Sveti Juraj na Bregu</w:t>
      </w:r>
    </w:p>
    <w:p w:rsidR="00E732EF" w:rsidRPr="00661C0A" w:rsidRDefault="00E732EF" w:rsidP="00E732EF">
      <w:pPr>
        <w:rPr>
          <w:rFonts w:ascii="Bookman Old Style" w:eastAsia="Calibri" w:hAnsi="Bookman Old Style" w:cs="Times New Roman"/>
        </w:rPr>
      </w:pPr>
      <w:r w:rsidRPr="00661C0A">
        <w:rPr>
          <w:rFonts w:ascii="Bookman Old Style" w:eastAsia="Calibri" w:hAnsi="Bookman Old Style" w:cs="Times New Roman"/>
        </w:rPr>
        <w:t xml:space="preserve"> </w:t>
      </w:r>
    </w:p>
    <w:p w:rsidR="00E732EF" w:rsidRPr="00661C0A" w:rsidRDefault="00E732EF" w:rsidP="00E732EF">
      <w:pPr>
        <w:rPr>
          <w:rFonts w:ascii="Bookman Old Style" w:eastAsia="Calibri" w:hAnsi="Bookman Old Style" w:cs="Times New Roman"/>
        </w:rPr>
      </w:pPr>
      <w:r w:rsidRPr="00661C0A">
        <w:rPr>
          <w:rFonts w:ascii="Bookman Old Style" w:eastAsia="Calibri" w:hAnsi="Bookman Old Style" w:cs="Times New Roman"/>
        </w:rPr>
        <w:t xml:space="preserve"> </w:t>
      </w: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t xml:space="preserve"> </w:t>
      </w: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t xml:space="preserve"> </w:t>
      </w: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E732EF" w:rsidP="00E732EF">
      <w:pPr>
        <w:jc w:val="center"/>
        <w:rPr>
          <w:rFonts w:ascii="Times New Roman" w:eastAsia="Calibri" w:hAnsi="Times New Roman" w:cs="Times New Roman"/>
        </w:rPr>
      </w:pPr>
      <w:r w:rsidRPr="00661C0A">
        <w:rPr>
          <w:rFonts w:ascii="Times New Roman" w:eastAsia="Calibri" w:hAnsi="Times New Roman" w:cs="Times New Roman"/>
        </w:rPr>
        <w:t>studeni 2021. godine</w:t>
      </w:r>
    </w:p>
    <w:p w:rsidR="00E732EF" w:rsidRPr="00661C0A" w:rsidRDefault="00E732EF" w:rsidP="00E732EF">
      <w:pPr>
        <w:rPr>
          <w:rFonts w:ascii="Times New Roman" w:eastAsia="Calibri" w:hAnsi="Times New Roman" w:cs="Times New Roman"/>
          <w:b/>
          <w:bCs/>
          <w:i/>
          <w:iCs/>
          <w:sz w:val="24"/>
          <w:szCs w:val="24"/>
        </w:rPr>
      </w:pPr>
      <w:r w:rsidRPr="00661C0A">
        <w:rPr>
          <w:rFonts w:ascii="Times New Roman" w:eastAsia="Calibri" w:hAnsi="Times New Roman" w:cs="Times New Roman"/>
          <w:b/>
          <w:bCs/>
          <w:i/>
          <w:iCs/>
          <w:sz w:val="24"/>
          <w:szCs w:val="24"/>
        </w:rPr>
        <w:lastRenderedPageBreak/>
        <w:t>Pojmovnik</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Građevina</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sklop definiran propisom kojim se uređuje gradnja;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Imovina</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obuhvaća građevine, infrastrukturu, opremu, zemljišta, višegodišnje nasade, šume, stoku, obrtna sredstva u poljoprivredi te ostala sredstva i dobra;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Poljoprivrednik</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fizička ili pravna osoba ili skupina fizičkih ili pravnih osoba koja obavlja poljoprivrednu djelatnost na području Republike Hrvatske, a obuhvaća sljedeće organizacijske oblike: obiteljsko poljoprivredno gospodarstvo, samo-opskrbno poljoprivredno gospodarstvo, obrt registriran za obavljanje poljoprivredne djelatnosti, trgovačko društvo ili zadrugu registriranu za obavljanje poljoprivredne djelatnosti te druga pravna osoba;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Štete u poljoprivredi</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su štete koje je poljoprivrednik pretrpio na poljoprivrednom zemljištu i/ili primarnoj poljoprivrednoj proizvodnji;</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Štete u šumarstvu</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su štete na šumskom zemljištu i šumama;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Poljoprivredno gospodarstvo</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čine sve proizvodne jedinice na kojima se obavlja poljoprivredna djelatnost i kojima upravlja poljoprivrednik, a koje se nalaze na području Republike Hrvatske;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Osiguravatelj </w:t>
      </w:r>
      <w:r w:rsidRPr="00661C0A">
        <w:rPr>
          <w:rFonts w:ascii="Times New Roman" w:eastAsia="Calibri" w:hAnsi="Times New Roman" w:cs="Times New Roman"/>
          <w:sz w:val="20"/>
          <w:szCs w:val="20"/>
        </w:rPr>
        <w:t>je društvo za osiguranje u smislu zakona kojim je uređeno osiguranje;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Oštećenik</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fizička ili pravna osoba na čijoj je imovini utvrđena šteta od prirodnih nepogoda sukladno kriterijima iz ovoga Zakona;</w:t>
      </w:r>
    </w:p>
    <w:p w:rsidR="00E732EF" w:rsidRPr="00661C0A" w:rsidRDefault="00E732EF" w:rsidP="00E732EF">
      <w:pPr>
        <w:spacing w:after="0" w:line="240" w:lineRule="auto"/>
        <w:jc w:val="both"/>
        <w:rPr>
          <w:rFonts w:ascii="Times New Roman" w:eastAsia="Calibri" w:hAnsi="Times New Roman" w:cs="Times New Roman"/>
          <w:sz w:val="20"/>
          <w:szCs w:val="20"/>
          <w:lang w:eastAsia="hr-HR"/>
        </w:rPr>
      </w:pPr>
      <w:r w:rsidRPr="00661C0A">
        <w:rPr>
          <w:rFonts w:ascii="Times New Roman" w:eastAsia="Calibri" w:hAnsi="Times New Roman" w:cs="Times New Roman"/>
          <w:b/>
          <w:i/>
          <w:iCs/>
          <w:sz w:val="20"/>
          <w:szCs w:val="20"/>
          <w:bdr w:val="none" w:sz="0" w:space="0" w:color="auto" w:frame="1"/>
        </w:rPr>
        <w:t>Katastrofa </w:t>
      </w:r>
      <w:r w:rsidRPr="00661C0A">
        <w:rPr>
          <w:rFonts w:ascii="Times New Roman" w:eastAsia="Calibri" w:hAnsi="Times New Roman" w:cs="Times New Roman"/>
          <w:sz w:val="20"/>
          <w:szCs w:val="20"/>
        </w:rPr>
        <w:t xml:space="preserve">ima značenje u smislu zakona kojim je uređen sustav civilne zaštite (CZ). </w:t>
      </w:r>
      <w:r w:rsidRPr="00661C0A">
        <w:rPr>
          <w:rFonts w:ascii="Times New Roman" w:eastAsia="Calibri" w:hAnsi="Times New Roman" w:cs="Times New Roman"/>
          <w:iCs/>
          <w:sz w:val="20"/>
          <w:szCs w:val="20"/>
          <w:lang w:eastAsia="hr-HR"/>
        </w:rPr>
        <w:t>Katastrofa</w:t>
      </w:r>
      <w:r w:rsidRPr="00661C0A">
        <w:rPr>
          <w:rFonts w:ascii="Times New Roman" w:eastAsia="Calibri" w:hAnsi="Times New Roman" w:cs="Times New Roman"/>
          <w:sz w:val="20"/>
          <w:szCs w:val="20"/>
          <w:lang w:eastAsia="hr-HR"/>
        </w:rPr>
        <w:t>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CZ;</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Poduzetnik </w:t>
      </w:r>
      <w:r w:rsidRPr="00661C0A">
        <w:rPr>
          <w:rFonts w:ascii="Times New Roman" w:eastAsia="Calibri" w:hAnsi="Times New Roman" w:cs="Times New Roman"/>
          <w:sz w:val="20"/>
          <w:szCs w:val="20"/>
        </w:rPr>
        <w:t>je svaka pravna ili fizička osoba koja, obavljajući gospodarsku djelatnost, sudjeluje u prometu robe i usluga bez obzira na to stječe li profit ili ne stječe;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Stambene zgrade</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 xml:space="preserve">u smislu ovoga Zakona su zgrade za smještaj i boravak ljudi; </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Infrastruktura </w:t>
      </w:r>
      <w:r w:rsidRPr="00661C0A">
        <w:rPr>
          <w:rFonts w:ascii="Times New Roman" w:eastAsia="Calibri" w:hAnsi="Times New Roman" w:cs="Times New Roman"/>
          <w:sz w:val="20"/>
          <w:szCs w:val="20"/>
        </w:rPr>
        <w:t>su građevine definirane propisom kojim se uređuje prostorno uređenje;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Važeće tržišne cijene</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su cijene određene na odgovarajućem tržištu;</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Jedinstvene cijene</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su cijene koje donosi, objavljuje i unosi u Registar šteta Državno povjerenstvo za procjenu šteta od prirodnih nepogoda na prijedlog nadležnog ministarstva;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Realna procjena vrijednosti imovine</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procjena imovine od strane nadležnih ministarstava;</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Registar šteta</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digitalna baza podataka svih šteta nastalih zbog prirodnih nepogoda na području Republike Hrvatske;</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Štete u ribarstvu</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 xml:space="preserve">su štete na imovini i/ili proizvodnji proizvoda ribarstva i </w:t>
      </w:r>
      <w:proofErr w:type="spellStart"/>
      <w:r w:rsidRPr="00661C0A">
        <w:rPr>
          <w:rFonts w:ascii="Times New Roman" w:eastAsia="Calibri" w:hAnsi="Times New Roman" w:cs="Times New Roman"/>
          <w:sz w:val="20"/>
          <w:szCs w:val="20"/>
        </w:rPr>
        <w:t>akvakulture</w:t>
      </w:r>
      <w:proofErr w:type="spellEnd"/>
      <w:r w:rsidRPr="00661C0A">
        <w:rPr>
          <w:rFonts w:ascii="Times New Roman" w:eastAsia="Calibri" w:hAnsi="Times New Roman" w:cs="Times New Roman"/>
          <w:sz w:val="20"/>
          <w:szCs w:val="20"/>
        </w:rPr>
        <w:t>;</w:t>
      </w:r>
    </w:p>
    <w:p w:rsidR="00E732EF" w:rsidRPr="00661C0A" w:rsidRDefault="00E732EF" w:rsidP="00E732EF">
      <w:pPr>
        <w:spacing w:after="0" w:line="240" w:lineRule="auto"/>
        <w:jc w:val="both"/>
        <w:rPr>
          <w:rFonts w:ascii="Times New Roman" w:eastAsia="Calibri" w:hAnsi="Times New Roman" w:cs="Times New Roman"/>
          <w:sz w:val="20"/>
          <w:szCs w:val="20"/>
        </w:rPr>
      </w:pPr>
      <w:r w:rsidRPr="00661C0A">
        <w:rPr>
          <w:rFonts w:ascii="Times New Roman" w:eastAsia="Calibri" w:hAnsi="Times New Roman" w:cs="Times New Roman"/>
          <w:b/>
          <w:i/>
          <w:iCs/>
          <w:sz w:val="20"/>
          <w:szCs w:val="20"/>
          <w:bdr w:val="none" w:sz="0" w:space="0" w:color="auto" w:frame="1"/>
        </w:rPr>
        <w:t>Žurna pomoć</w:t>
      </w:r>
      <w:r w:rsidRPr="00661C0A">
        <w:rPr>
          <w:rFonts w:ascii="Times New Roman" w:eastAsia="Calibri" w:hAnsi="Times New Roman" w:cs="Times New Roman"/>
          <w:i/>
          <w:iCs/>
          <w:sz w:val="20"/>
          <w:szCs w:val="20"/>
          <w:bdr w:val="none" w:sz="0" w:space="0" w:color="auto" w:frame="1"/>
        </w:rPr>
        <w:t> </w:t>
      </w:r>
      <w:r w:rsidRPr="00661C0A">
        <w:rPr>
          <w:rFonts w:ascii="Times New Roman" w:eastAsia="Calibri" w:hAnsi="Times New Roman" w:cs="Times New Roman"/>
          <w:sz w:val="20"/>
          <w:szCs w:val="20"/>
        </w:rPr>
        <w:t>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rsidR="00E732EF" w:rsidRPr="00661C0A" w:rsidRDefault="00E732EF" w:rsidP="00E732EF">
      <w:pPr>
        <w:spacing w:after="0" w:line="240" w:lineRule="auto"/>
        <w:jc w:val="both"/>
        <w:rPr>
          <w:rFonts w:ascii="Times New Roman" w:eastAsia="Calibri" w:hAnsi="Times New Roman" w:cs="Times New Roman"/>
          <w:sz w:val="20"/>
          <w:szCs w:val="20"/>
        </w:rPr>
      </w:pPr>
    </w:p>
    <w:p w:rsidR="00E732EF" w:rsidRPr="00661C0A" w:rsidRDefault="00E732EF" w:rsidP="00E732EF">
      <w:pPr>
        <w:shd w:val="clear" w:color="auto" w:fill="FFFFFF"/>
        <w:spacing w:after="0" w:line="240" w:lineRule="auto"/>
        <w:jc w:val="both"/>
        <w:rPr>
          <w:rFonts w:ascii="Times New Roman" w:eastAsia="Calibri" w:hAnsi="Times New Roman" w:cs="Times New Roman"/>
        </w:rPr>
      </w:pPr>
      <w:r w:rsidRPr="00661C0A">
        <w:rPr>
          <w:rFonts w:ascii="Times New Roman" w:eastAsia="Calibri" w:hAnsi="Times New Roman" w:cs="Times New Roman"/>
        </w:rPr>
        <w:t>Zakonom o ublažavanju i uklanjanju posljedica prirodnih nepogoda („Narodne novine“, broj 16/19.), uređeni su kriteriji i ovlasti za proglašenje prirodne nepogode, način procjene štete od prirodne nepogode, postupak dodjele pomoći za ublažavanje i djelomično uklanjanje posljedica prirodnih nepogoda nastalih na području Republike Hrvatske, vođenje Registra šteta od prirodnih nepogoda te druga pitanja u vezi s dodjelom pomoći za ublažavanje i djelomično uklanjanje posljedica prirodnih nepogoda.</w:t>
      </w:r>
    </w:p>
    <w:p w:rsidR="00E732EF" w:rsidRPr="00661C0A" w:rsidRDefault="00E732EF" w:rsidP="00E732EF">
      <w:pPr>
        <w:shd w:val="clear" w:color="auto" w:fill="FFFFFF"/>
        <w:spacing w:after="0" w:line="240" w:lineRule="auto"/>
        <w:jc w:val="both"/>
        <w:rPr>
          <w:rFonts w:ascii="Times New Roman" w:eastAsia="Calibri" w:hAnsi="Times New Roman" w:cs="Times New Roman"/>
          <w:b/>
          <w:bCs/>
        </w:rPr>
      </w:pPr>
    </w:p>
    <w:p w:rsidR="00E732EF" w:rsidRPr="00661C0A" w:rsidRDefault="00E732EF" w:rsidP="00E732EF">
      <w:pPr>
        <w:shd w:val="clear" w:color="auto" w:fill="FFFFFF"/>
        <w:spacing w:after="0" w:line="240" w:lineRule="auto"/>
        <w:jc w:val="both"/>
        <w:rPr>
          <w:rFonts w:ascii="Times New Roman" w:eastAsia="Calibri" w:hAnsi="Times New Roman" w:cs="Times New Roman"/>
          <w:b/>
          <w:bCs/>
        </w:rPr>
      </w:pPr>
      <w:r w:rsidRPr="00661C0A">
        <w:rPr>
          <w:rFonts w:ascii="Times New Roman" w:eastAsia="Calibri" w:hAnsi="Times New Roman" w:cs="Times New Roman"/>
          <w:b/>
          <w:bCs/>
        </w:rPr>
        <w:t xml:space="preserve">Nakon </w:t>
      </w:r>
      <w:r w:rsidRPr="00661C0A">
        <w:rPr>
          <w:rFonts w:ascii="Times New Roman" w:eastAsia="Calibri" w:hAnsi="Times New Roman" w:cs="Times New Roman"/>
          <w:b/>
          <w:bCs/>
          <w:i/>
          <w:iCs/>
        </w:rPr>
        <w:t>Zakona</w:t>
      </w:r>
      <w:r w:rsidRPr="00661C0A">
        <w:rPr>
          <w:rFonts w:ascii="Times New Roman" w:eastAsia="Calibri" w:hAnsi="Times New Roman" w:cs="Times New Roman"/>
          <w:b/>
          <w:bCs/>
        </w:rPr>
        <w:t xml:space="preserve"> u drugom dijelu godine donijet je i </w:t>
      </w:r>
      <w:r w:rsidRPr="00661C0A">
        <w:rPr>
          <w:rFonts w:ascii="Times New Roman" w:eastAsia="Calibri" w:hAnsi="Times New Roman" w:cs="Times New Roman"/>
          <w:b/>
          <w:bCs/>
          <w:i/>
          <w:iCs/>
        </w:rPr>
        <w:t>Pravilnik o registru šteta od prirodnih nepogoda</w:t>
      </w:r>
      <w:r w:rsidRPr="00661C0A">
        <w:rPr>
          <w:rFonts w:ascii="Times New Roman" w:eastAsia="Calibri" w:hAnsi="Times New Roman" w:cs="Times New Roman"/>
          <w:b/>
          <w:bCs/>
        </w:rPr>
        <w:t xml:space="preserve"> („Narodne novine“, broj 65/19.).</w:t>
      </w:r>
    </w:p>
    <w:p w:rsidR="00E732EF" w:rsidRPr="00661C0A" w:rsidRDefault="00E732EF" w:rsidP="00E732EF">
      <w:pPr>
        <w:shd w:val="clear" w:color="auto" w:fill="FFFFFF"/>
        <w:spacing w:after="0" w:line="240" w:lineRule="auto"/>
        <w:jc w:val="both"/>
        <w:rPr>
          <w:rFonts w:ascii="Times New Roman" w:eastAsia="Calibri" w:hAnsi="Times New Roman" w:cs="Times New Roman"/>
        </w:rPr>
      </w:pPr>
    </w:p>
    <w:p w:rsidR="00E732EF" w:rsidRPr="00661C0A" w:rsidRDefault="00E732EF" w:rsidP="00E732EF">
      <w:pPr>
        <w:shd w:val="clear" w:color="auto" w:fill="FFFFFF"/>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Pravilnikom o Registru šteta od prirodnih nepogoda (u daljnjem tekstu: </w:t>
      </w:r>
      <w:r w:rsidRPr="00661C0A">
        <w:rPr>
          <w:rFonts w:ascii="Times New Roman" w:eastAsia="Calibri" w:hAnsi="Times New Roman" w:cs="Times New Roman"/>
          <w:b/>
          <w:bCs/>
        </w:rPr>
        <w:t>Pravilnik</w:t>
      </w:r>
      <w:r w:rsidRPr="00661C0A">
        <w:rPr>
          <w:rFonts w:ascii="Times New Roman" w:eastAsia="Calibri" w:hAnsi="Times New Roman" w:cs="Times New Roman"/>
        </w:rPr>
        <w:t>) propisuje se sadržaj, oblik i način dostave podataka o nastalim štetama od prirodnih nepogoda iz članaka 12., 13., 14., 25., 28., 39. i 41. Zakona.</w:t>
      </w:r>
    </w:p>
    <w:p w:rsidR="00E732EF" w:rsidRPr="00661C0A" w:rsidRDefault="00E732EF" w:rsidP="00E732EF">
      <w:pPr>
        <w:shd w:val="clear" w:color="auto" w:fill="FFFFFF"/>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b/>
        </w:rPr>
      </w:pPr>
      <w:r w:rsidRPr="00E732EF">
        <w:rPr>
          <w:rFonts w:ascii="Times New Roman" w:eastAsia="Calibri" w:hAnsi="Times New Roman" w:cs="Times New Roman"/>
          <w:b/>
        </w:rPr>
        <w:lastRenderedPageBreak/>
        <w:t xml:space="preserve">SADRŽAJ </w:t>
      </w:r>
    </w:p>
    <w:p w:rsidR="00E732EF" w:rsidRPr="00E732EF" w:rsidRDefault="00E732EF" w:rsidP="00E732EF">
      <w:pPr>
        <w:rPr>
          <w:rFonts w:ascii="Times New Roman" w:eastAsia="Calibri" w:hAnsi="Times New Roman" w:cs="Times New Roman"/>
          <w:b/>
        </w:rPr>
      </w:pPr>
      <w:r w:rsidRPr="00E732EF">
        <w:rPr>
          <w:rFonts w:ascii="Times New Roman" w:eastAsia="Calibri" w:hAnsi="Times New Roman" w:cs="Times New Roman"/>
          <w:b/>
        </w:rPr>
        <w:t>Pojmovnik</w:t>
      </w:r>
    </w:p>
    <w:p w:rsidR="00E732EF" w:rsidRPr="00E732EF" w:rsidRDefault="00E732EF" w:rsidP="00E732EF">
      <w:pPr>
        <w:rPr>
          <w:rFonts w:ascii="Times New Roman" w:eastAsia="Calibri" w:hAnsi="Times New Roman" w:cs="Times New Roman"/>
          <w:b/>
        </w:rPr>
      </w:pPr>
      <w:r w:rsidRPr="00E732EF">
        <w:rPr>
          <w:rFonts w:ascii="Times New Roman" w:eastAsia="Calibri" w:hAnsi="Times New Roman" w:cs="Times New Roman"/>
          <w:b/>
        </w:rPr>
        <w:t>Uvod</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1. MOGUĆE UGROZE NA PODRUČJU OPĆINE SVETI JURAJ NA </w:t>
      </w:r>
      <w:proofErr w:type="spellStart"/>
      <w:r w:rsidRPr="00E732EF">
        <w:rPr>
          <w:rFonts w:ascii="Times New Roman" w:eastAsia="Calibri" w:hAnsi="Times New Roman" w:cs="Times New Roman"/>
        </w:rPr>
        <w:t>BREGU.....................</w:t>
      </w:r>
      <w:proofErr w:type="spellEnd"/>
      <w:r w:rsidRPr="00E732EF">
        <w:rPr>
          <w:rFonts w:ascii="Times New Roman" w:eastAsia="Calibri" w:hAnsi="Times New Roman" w:cs="Times New Roman"/>
        </w:rPr>
        <w:t>.</w:t>
      </w:r>
      <w:r w:rsidRPr="00E732EF">
        <w:rPr>
          <w:rFonts w:ascii="Times New Roman" w:eastAsia="Calibri" w:hAnsi="Times New Roman" w:cs="Times New Roman"/>
        </w:rPr>
        <w:tab/>
        <w:t>5</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1.1. UGROZE DEFINIRANE ZAKONOM .............................................................................</w:t>
      </w:r>
      <w:r w:rsidRPr="00E732EF">
        <w:rPr>
          <w:rFonts w:ascii="Times New Roman" w:eastAsia="Calibri" w:hAnsi="Times New Roman" w:cs="Times New Roman"/>
        </w:rPr>
        <w:tab/>
        <w:t>5</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1.2.  UGROZE ZABILJEŽENE NA PODRUČJU  OPĆINE……………...........................</w:t>
      </w:r>
      <w:r w:rsidRPr="00E732EF">
        <w:rPr>
          <w:rFonts w:ascii="Times New Roman" w:eastAsia="Calibri" w:hAnsi="Times New Roman" w:cs="Times New Roman"/>
        </w:rPr>
        <w:tab/>
        <w:t xml:space="preserve">5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1.3. UGROZE KOJE ĆE SE OBRAĐIVATI OVIM PLANOM </w:t>
      </w:r>
      <w:proofErr w:type="spellStart"/>
      <w:r w:rsidRPr="00E732EF">
        <w:rPr>
          <w:rFonts w:ascii="Times New Roman" w:eastAsia="Calibri" w:hAnsi="Times New Roman" w:cs="Times New Roman"/>
        </w:rPr>
        <w:t>DJELOVANJA.................</w:t>
      </w:r>
      <w:proofErr w:type="spellEnd"/>
      <w:r w:rsidRPr="00E732EF">
        <w:rPr>
          <w:rFonts w:ascii="Times New Roman" w:eastAsia="Calibri" w:hAnsi="Times New Roman" w:cs="Times New Roman"/>
        </w:rPr>
        <w:t xml:space="preserve">. </w:t>
      </w:r>
      <w:r w:rsidRPr="00E732EF">
        <w:rPr>
          <w:rFonts w:ascii="Times New Roman" w:eastAsia="Calibri" w:hAnsi="Times New Roman" w:cs="Times New Roman"/>
        </w:rPr>
        <w:tab/>
        <w:t>6</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 POPIS MERA I NOSITELJA MJERA U SLUČAJU NASTAJANJA PRIRODNE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NEPOGODE………………………………………………………………………………..</w:t>
      </w:r>
      <w:r w:rsidRPr="00E732EF">
        <w:rPr>
          <w:rFonts w:ascii="Times New Roman" w:eastAsia="Calibri" w:hAnsi="Times New Roman" w:cs="Times New Roman"/>
        </w:rPr>
        <w:tab/>
        <w:t xml:space="preserve">6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 POPIS MJERA PO PRIRODNIM  NEPOGODAMA ..............................................</w:t>
      </w:r>
      <w:r w:rsidRPr="00E732EF">
        <w:rPr>
          <w:rFonts w:ascii="Times New Roman" w:eastAsia="Calibri" w:hAnsi="Times New Roman" w:cs="Times New Roman"/>
        </w:rPr>
        <w:tab/>
        <w:t xml:space="preserve">7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2.1.1. SUŠA .........................................................................................................................</w:t>
      </w:r>
      <w:r w:rsidRPr="00E732EF">
        <w:rPr>
          <w:rFonts w:ascii="Times New Roman" w:eastAsia="Calibri" w:hAnsi="Times New Roman" w:cs="Times New Roman"/>
        </w:rPr>
        <w:tab/>
        <w:t>12</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2.1.2. OLUJNO I ORKANSKO NEVRIJEME ..................................................................</w:t>
      </w:r>
      <w:r w:rsidRPr="00E732EF">
        <w:rPr>
          <w:rFonts w:ascii="Times New Roman" w:eastAsia="Calibri" w:hAnsi="Times New Roman" w:cs="Times New Roman"/>
        </w:rPr>
        <w:tab/>
        <w:t xml:space="preserve">14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2.1.3. SNJEŽNE OBORINE .............................................................................................. </w:t>
      </w:r>
      <w:r w:rsidRPr="00E732EF">
        <w:rPr>
          <w:rFonts w:ascii="Times New Roman" w:eastAsia="Calibri" w:hAnsi="Times New Roman" w:cs="Times New Roman"/>
        </w:rPr>
        <w:tab/>
        <w:t>18</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2.1.4. POLEDICE ............................................................................................................ .</w:t>
      </w:r>
      <w:r w:rsidRPr="00E732EF">
        <w:rPr>
          <w:rFonts w:ascii="Times New Roman" w:eastAsia="Calibri" w:hAnsi="Times New Roman" w:cs="Times New Roman"/>
        </w:rPr>
        <w:tab/>
        <w:t>19</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2.1.5. TUČA ....................................................................................................................</w:t>
      </w:r>
      <w:r w:rsidRPr="00E732EF">
        <w:rPr>
          <w:rFonts w:ascii="Times New Roman" w:eastAsia="Calibri" w:hAnsi="Times New Roman" w:cs="Times New Roman"/>
        </w:rPr>
        <w:tab/>
        <w:t>21</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2.1.6. KLIZIŠTA TLA…………………………………………………………………….. </w:t>
      </w:r>
      <w:r w:rsidRPr="00E732EF">
        <w:rPr>
          <w:rFonts w:ascii="Times New Roman" w:eastAsia="Calibri" w:hAnsi="Times New Roman" w:cs="Times New Roman"/>
        </w:rPr>
        <w:tab/>
        <w:t>23</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2.2. NOSITELJI MJERA PO PRIRODNIM NEPOGODAMA ..........................................</w:t>
      </w:r>
      <w:r w:rsidRPr="00E732EF">
        <w:rPr>
          <w:rFonts w:ascii="Times New Roman" w:eastAsia="Calibri" w:hAnsi="Times New Roman" w:cs="Times New Roman"/>
        </w:rPr>
        <w:tab/>
        <w:t xml:space="preserve">27 </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3. PROCJENA OSIGURANJA OPREME I DRUGIH SREDSTAVA ZA ZAŠTITU I SPRJEČAVANJE STRADANJA IMOVINE, GOSPODARSKIH FUNKCIJA I STRADANJA STANOVNIŠTVA .................. ………………………………………………………………</w:t>
      </w:r>
      <w:r w:rsidRPr="00E732EF">
        <w:rPr>
          <w:rFonts w:ascii="Times New Roman" w:eastAsia="Calibri" w:hAnsi="Times New Roman" w:cs="Times New Roman"/>
        </w:rPr>
        <w:tab/>
        <w:t>28</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4. OSTALE MJERE KOJE UKLJUČUJU SURADNJU S NADLEŽNIM TIJELIMA  (ŽUPANIJA, MINISTARSTVO, STRUČNJAKA ZA PODRUČJE PRIRODNIH NEPOGODA) …….....</w:t>
      </w:r>
      <w:r w:rsidRPr="00E732EF">
        <w:rPr>
          <w:rFonts w:ascii="Times New Roman" w:eastAsia="Calibri" w:hAnsi="Times New Roman" w:cs="Times New Roman"/>
        </w:rPr>
        <w:tab/>
        <w:t>29</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ZAKLJUČAK .........................................................................................................................</w:t>
      </w:r>
      <w:r w:rsidRPr="00E732EF">
        <w:rPr>
          <w:rFonts w:ascii="Times New Roman" w:eastAsia="Calibri" w:hAnsi="Times New Roman" w:cs="Times New Roman"/>
        </w:rPr>
        <w:tab/>
        <w:t>29</w:t>
      </w: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Prilozi…………………………………………………………………………………………  31-37</w:t>
      </w:r>
    </w:p>
    <w:p w:rsidR="00E732EF" w:rsidRPr="00E732EF" w:rsidRDefault="00E732EF" w:rsidP="00E732EF">
      <w:pPr>
        <w:numPr>
          <w:ilvl w:val="0"/>
          <w:numId w:val="26"/>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Prilog 1: Važeća Odluka o Povjerenstvu za procjenu šteta Općine</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numPr>
          <w:ilvl w:val="0"/>
          <w:numId w:val="26"/>
        </w:numPr>
        <w:spacing w:after="0" w:line="240" w:lineRule="auto"/>
        <w:jc w:val="both"/>
        <w:rPr>
          <w:rFonts w:ascii="Times New Roman" w:eastAsia="Calibri" w:hAnsi="Times New Roman" w:cs="Times New Roman"/>
          <w:b/>
          <w:bCs/>
        </w:rPr>
      </w:pPr>
      <w:r w:rsidRPr="00E732EF">
        <w:rPr>
          <w:rFonts w:ascii="Times New Roman" w:eastAsia="Calibri" w:hAnsi="Times New Roman" w:cs="Times New Roman"/>
        </w:rPr>
        <w:t xml:space="preserve">Prilog 2: Obrazloženje za Općinsko vijeće Općine Sveti Juraj na Bregu -  </w:t>
      </w:r>
      <w:r w:rsidRPr="00E732EF">
        <w:rPr>
          <w:rFonts w:ascii="Times New Roman" w:eastAsia="Calibri" w:hAnsi="Times New Roman" w:cs="Times New Roman"/>
          <w:b/>
          <w:bCs/>
        </w:rPr>
        <w:t>Cilj nove zakonske regulative</w:t>
      </w: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numPr>
          <w:ilvl w:val="0"/>
          <w:numId w:val="26"/>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Prilog 3: Osnovni obrasci i sadržaji Područja procjena šteta A – K sa pripadajućim prilozima (tablicama)</w:t>
      </w:r>
    </w:p>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ab/>
      </w:r>
    </w:p>
    <w:p w:rsidR="00E732EF" w:rsidRPr="00160168" w:rsidRDefault="00E732EF" w:rsidP="00E732EF">
      <w:pPr>
        <w:rPr>
          <w:rFonts w:ascii="Times New Roman" w:eastAsia="Calibri" w:hAnsi="Times New Roman" w:cs="Times New Roman"/>
          <w:b/>
          <w:bCs/>
          <w:color w:val="7030A0"/>
        </w:rPr>
      </w:pPr>
      <w:r w:rsidRPr="00160168">
        <w:rPr>
          <w:rFonts w:ascii="Calibri" w:eastAsia="Calibri" w:hAnsi="Calibri" w:cs="Arial"/>
          <w:color w:val="7030A0"/>
        </w:rPr>
        <w:lastRenderedPageBreak/>
        <w:t xml:space="preserve"> </w:t>
      </w:r>
      <w:r w:rsidRPr="00160168">
        <w:rPr>
          <w:rFonts w:ascii="Times New Roman" w:eastAsia="Calibri" w:hAnsi="Times New Roman" w:cs="Times New Roman"/>
          <w:color w:val="7030A0"/>
        </w:rPr>
        <w:t xml:space="preserve"> </w:t>
      </w:r>
      <w:r w:rsidRPr="00160168">
        <w:rPr>
          <w:rFonts w:ascii="Times New Roman" w:eastAsia="Calibri" w:hAnsi="Times New Roman" w:cs="Times New Roman"/>
          <w:b/>
          <w:bCs/>
          <w:color w:val="7030A0"/>
        </w:rPr>
        <w:t xml:space="preserve">UVOD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Temeljem  Zakona o ublažavanju i uklanjanju posljedica prirodnih nepogoda („Narodne novine“, broj 16/19. - u daljnjem tekstu „</w:t>
      </w:r>
      <w:r w:rsidRPr="00661C0A">
        <w:rPr>
          <w:rFonts w:ascii="Times New Roman" w:eastAsia="Calibri" w:hAnsi="Times New Roman" w:cs="Times New Roman"/>
          <w:b/>
          <w:bCs/>
        </w:rPr>
        <w:t>Zakon</w:t>
      </w:r>
      <w:r w:rsidRPr="00661C0A">
        <w:rPr>
          <w:rFonts w:ascii="Times New Roman" w:eastAsia="Calibri" w:hAnsi="Times New Roman" w:cs="Times New Roman"/>
        </w:rPr>
        <w:t>“) uređuju se kriteriji i ovlasti za proglašenje prirodne nepogode, procjena štete od prirodne nepogode, dodjela pomoći za ublažavanje i djelomično uklanjanje posljedica prirodnih nepogoda nastalih na području Republike Hrvatske. Naknadno je usvojen Pravilnik o registru šteta od prirodnih nepogoda („Narodne novine“, broj 65/19. - u daljnjem tekstu: „</w:t>
      </w:r>
      <w:r w:rsidRPr="00661C0A">
        <w:rPr>
          <w:rFonts w:ascii="Times New Roman" w:eastAsia="Calibri" w:hAnsi="Times New Roman" w:cs="Times New Roman"/>
          <w:b/>
          <w:bCs/>
        </w:rPr>
        <w:t>Pravilnik o registru šteta“</w:t>
      </w:r>
      <w:r w:rsidRPr="00661C0A">
        <w:rPr>
          <w:rFonts w:ascii="Times New Roman" w:eastAsia="Calibri" w:hAnsi="Times New Roman" w:cs="Times New Roman"/>
        </w:rPr>
        <w:t xml:space="preserve">) te regulirana druga pitanja u vezi s dodjelom pomoći za ublažavanje i djelomično uklanjanje posljedica prirodnih nepogoda. Člankom 17. Zakona regulirano je da Predstavničko tijelo JLP(R) samouprave do kraja studenog donosi </w:t>
      </w:r>
      <w:r w:rsidRPr="00661C0A">
        <w:rPr>
          <w:rFonts w:ascii="Times New Roman" w:eastAsia="Calibri" w:hAnsi="Times New Roman" w:cs="Times New Roman"/>
          <w:b/>
          <w:bCs/>
        </w:rPr>
        <w:t>Plan djelovanja</w:t>
      </w:r>
      <w:r w:rsidRPr="00661C0A">
        <w:rPr>
          <w:rFonts w:ascii="Times New Roman" w:eastAsia="Calibri" w:hAnsi="Times New Roman" w:cs="Times New Roman"/>
        </w:rPr>
        <w:t xml:space="preserve"> </w:t>
      </w:r>
      <w:r w:rsidRPr="00661C0A">
        <w:rPr>
          <w:rFonts w:ascii="Times New Roman" w:eastAsia="Calibri" w:hAnsi="Times New Roman" w:cs="Times New Roman"/>
          <w:b/>
          <w:bCs/>
        </w:rPr>
        <w:t>u području prirodnih nepogoda</w:t>
      </w:r>
      <w:r w:rsidRPr="00661C0A">
        <w:rPr>
          <w:rFonts w:ascii="Times New Roman" w:eastAsia="Calibri" w:hAnsi="Times New Roman" w:cs="Times New Roman"/>
        </w:rPr>
        <w:t xml:space="preserve"> za narednu godinu i sadržaj Plana, te da Izvršno tijelo JLP(R) samouprave podnosi Predstavničkom tijelu Izvješće o izvršenju Plana – za prošlu godinu.</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Temeljem navedenog i članka 14. stavka 8. Općinsko povjerenstvo za poljoprivredu i utvrđivanje šteta od elementarnih nepogoda izrađuje </w:t>
      </w:r>
      <w:r w:rsidRPr="00661C0A">
        <w:rPr>
          <w:rFonts w:ascii="Times New Roman" w:eastAsia="Calibri" w:hAnsi="Times New Roman" w:cs="Times New Roman"/>
          <w:b/>
          <w:bCs/>
        </w:rPr>
        <w:t>Plan djelovanja u području prirodnih nepogoda za područje Općine Sveti Juraj na Bregu</w:t>
      </w:r>
      <w:r w:rsidRPr="00661C0A">
        <w:rPr>
          <w:rFonts w:ascii="Times New Roman" w:eastAsia="Calibri" w:hAnsi="Times New Roman" w:cs="Times New Roman"/>
        </w:rPr>
        <w:t xml:space="preserve">. </w:t>
      </w:r>
    </w:p>
    <w:p w:rsidR="00E732EF" w:rsidRPr="00661C0A" w:rsidRDefault="00E732EF" w:rsidP="00E732EF">
      <w:pPr>
        <w:spacing w:after="0" w:line="240" w:lineRule="auto"/>
        <w:rPr>
          <w:rFonts w:ascii="Times New Roman" w:eastAsia="Calibri" w:hAnsi="Times New Roman" w:cs="Times New Roman"/>
        </w:rPr>
      </w:pPr>
    </w:p>
    <w:p w:rsidR="00E732EF" w:rsidRPr="00661C0A" w:rsidRDefault="00E732EF" w:rsidP="00E732EF">
      <w:pPr>
        <w:spacing w:after="0" w:line="240" w:lineRule="auto"/>
        <w:rPr>
          <w:rFonts w:ascii="Times New Roman" w:eastAsia="Calibri" w:hAnsi="Times New Roman" w:cs="Times New Roman"/>
          <w:u w:val="single"/>
        </w:rPr>
      </w:pPr>
      <w:r w:rsidRPr="00661C0A">
        <w:rPr>
          <w:rFonts w:ascii="Times New Roman" w:eastAsia="Calibri" w:hAnsi="Times New Roman" w:cs="Times New Roman"/>
          <w:u w:val="single"/>
        </w:rPr>
        <w:t xml:space="preserve">Izvodno čl.14 Zakona: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(1) Članove i broj članova općinskog povjerenstva imenuje </w:t>
      </w:r>
      <w:r w:rsidR="00160168" w:rsidRPr="00661C0A">
        <w:rPr>
          <w:rFonts w:ascii="Times New Roman" w:eastAsia="Calibri" w:hAnsi="Times New Roman" w:cs="Times New Roman"/>
        </w:rPr>
        <w:t>O</w:t>
      </w:r>
      <w:r w:rsidRPr="00661C0A">
        <w:rPr>
          <w:rFonts w:ascii="Times New Roman" w:eastAsia="Calibri" w:hAnsi="Times New Roman" w:cs="Times New Roman"/>
        </w:rPr>
        <w:t>pćinsko vijeće na razdoblje od četiri godine i o njihovu imenovanju obavještava županijsko povjerenstvo.</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(2) </w:t>
      </w:r>
      <w:r w:rsidRPr="00661C0A">
        <w:rPr>
          <w:rFonts w:ascii="Times New Roman" w:eastAsia="Calibri" w:hAnsi="Times New Roman" w:cs="Times New Roman"/>
          <w:i/>
          <w:iCs/>
          <w:u w:val="single"/>
        </w:rPr>
        <w:t>Povjerenstva iz ovoga članka obavljaju sljedeće poslove</w:t>
      </w:r>
      <w:r w:rsidRPr="00661C0A">
        <w:rPr>
          <w:rFonts w:ascii="Times New Roman" w:eastAsia="Calibri" w:hAnsi="Times New Roman" w:cs="Times New Roman"/>
          <w:i/>
          <w:iCs/>
        </w:rPr>
        <w:t>:</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1. utvrđuju i provjeravaju visinu štete od prirodne nepogode za područje općine odnosno grada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2. unose podatke o prvim procjenama šteta u Registar šteta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3. unose i prosljeđuju putem Registra šteta konačne procjene šteta županijskom povjerenstvu</w:t>
      </w:r>
    </w:p>
    <w:p w:rsidR="00E732EF" w:rsidRPr="00661C0A" w:rsidRDefault="00160168"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4.</w:t>
      </w:r>
      <w:r w:rsidR="00E732EF" w:rsidRPr="00661C0A">
        <w:rPr>
          <w:rFonts w:ascii="Times New Roman" w:eastAsia="Calibri" w:hAnsi="Times New Roman" w:cs="Times New Roman"/>
        </w:rPr>
        <w:t xml:space="preserve">raspoređuju dodijeljena sredstva pomoći za ublažavanje i djelomično uklanjanje posljedica prirodnih nepogoda </w:t>
      </w:r>
      <w:proofErr w:type="spellStart"/>
      <w:r w:rsidR="00E732EF" w:rsidRPr="00661C0A">
        <w:rPr>
          <w:rFonts w:ascii="Times New Roman" w:eastAsia="Calibri" w:hAnsi="Times New Roman" w:cs="Times New Roman"/>
        </w:rPr>
        <w:t>oštećenicima</w:t>
      </w:r>
      <w:proofErr w:type="spellEnd"/>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5. prate i nadziru namjensko korištenje odobrenih sredstava pomoći za djelomičnu sanaciju šteta od prirodnih nepogoda prema ovom Zakonu</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6. izrađuju izvješća o utrošku dodijeljenih sredstava žurne pomoći i sredstava pomoći za ublažavanje i djelomično uklanjanje posljedica prirodnih nepogoda i dostavljaju ih županijskom povjerenstvu putem Registra šteta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7. surađuju sa županijskim povjerenstvom u provedbi ovoga Zakona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8. donose plan djelovanja u području prirodnih nepogoda iz svoje nadležnosti</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9. obavljaju druge poslove i aktivnosti iz svojeg djelokruga u suradnji sa županijskim povjerenstvima</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(3) Oblik i način dostave podataka iz stavka 2. točaka 2., 3. i 6. ovoga članka ministar financija propisao je Pravilnikom.</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(4) Članovi povjerenstva u svojem radu dužni su postupati savjesno i u skladu s odredbama ovoga </w:t>
      </w:r>
      <w:r w:rsidRPr="00661C0A">
        <w:rPr>
          <w:rFonts w:ascii="Times New Roman" w:eastAsia="Calibri" w:hAnsi="Times New Roman" w:cs="Times New Roman"/>
          <w:b/>
          <w:bCs/>
        </w:rPr>
        <w:t>Zakona,</w:t>
      </w:r>
      <w:r w:rsidRPr="00661C0A">
        <w:rPr>
          <w:rFonts w:ascii="Times New Roman" w:eastAsia="Calibri" w:hAnsi="Times New Roman" w:cs="Times New Roman"/>
        </w:rPr>
        <w:t xml:space="preserve"> u suprotnom, oštećenici imaju pravo tražiti nadoknadu štete od jedinice lokalne samouprave za učinjene propuste.</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spacing w:after="0" w:line="240" w:lineRule="auto"/>
        <w:jc w:val="both"/>
        <w:rPr>
          <w:rFonts w:ascii="Times New Roman" w:eastAsia="Calibri" w:hAnsi="Times New Roman" w:cs="Times New Roman"/>
          <w:i/>
          <w:iCs/>
          <w:shd w:val="clear" w:color="auto" w:fill="FFFFFF"/>
        </w:rPr>
      </w:pPr>
      <w:r w:rsidRPr="00661C0A">
        <w:rPr>
          <w:rFonts w:ascii="Times New Roman" w:eastAsia="Calibri" w:hAnsi="Times New Roman" w:cs="Times New Roman"/>
          <w:i/>
          <w:iCs/>
          <w:shd w:val="clear" w:color="auto" w:fill="FFFFFF"/>
        </w:rPr>
        <w:t>Stručno povjerenstvo</w:t>
      </w:r>
    </w:p>
    <w:p w:rsidR="00E732EF" w:rsidRPr="00661C0A" w:rsidRDefault="00E732EF" w:rsidP="00E732EF">
      <w:pPr>
        <w:spacing w:after="0" w:line="240" w:lineRule="auto"/>
        <w:jc w:val="both"/>
        <w:rPr>
          <w:rFonts w:ascii="Times New Roman" w:eastAsia="Calibri" w:hAnsi="Times New Roman" w:cs="Times New Roman"/>
          <w:shd w:val="clear" w:color="auto" w:fill="FFFFFF"/>
        </w:rPr>
      </w:pPr>
      <w:r w:rsidRPr="00661C0A">
        <w:rPr>
          <w:rFonts w:ascii="Times New Roman" w:eastAsia="Calibri" w:hAnsi="Times New Roman" w:cs="Times New Roman"/>
          <w:shd w:val="clear" w:color="auto" w:fill="FFFFFF"/>
        </w:rPr>
        <w:t xml:space="preserve">Ako općinsko odnosno gradsko povjerenstvo nije u mogućnosti, zbog nedostatka specifičnih stručnih znanja, procijeniti štetu od prirodnih nepogoda, može zatražiti od županijskog povjerenstva </w:t>
      </w:r>
      <w:r w:rsidRPr="00661C0A">
        <w:rPr>
          <w:rFonts w:ascii="Times New Roman" w:eastAsia="Calibri" w:hAnsi="Times New Roman" w:cs="Times New Roman"/>
          <w:u w:val="single"/>
          <w:shd w:val="clear" w:color="auto" w:fill="FFFFFF"/>
        </w:rPr>
        <w:t>imenovanje stručnog povjerenstva</w:t>
      </w:r>
      <w:r w:rsidRPr="00661C0A">
        <w:rPr>
          <w:rFonts w:ascii="Times New Roman" w:eastAsia="Calibri" w:hAnsi="Times New Roman" w:cs="Times New Roman"/>
          <w:shd w:val="clear" w:color="auto" w:fill="FFFFFF"/>
        </w:rPr>
        <w:t xml:space="preserve"> na području u kojem je proglašena prirodna nepogoda.</w:t>
      </w:r>
    </w:p>
    <w:p w:rsidR="00E732EF" w:rsidRPr="00661C0A" w:rsidRDefault="00E732EF" w:rsidP="00E732EF">
      <w:pPr>
        <w:spacing w:after="0" w:line="240" w:lineRule="auto"/>
        <w:jc w:val="both"/>
        <w:rPr>
          <w:rFonts w:ascii="Times New Roman" w:eastAsia="Calibri" w:hAnsi="Times New Roman" w:cs="Times New Roman"/>
          <w:shd w:val="clear" w:color="auto" w:fill="FFFFFF"/>
        </w:rPr>
      </w:pPr>
      <w:r w:rsidRPr="00661C0A">
        <w:rPr>
          <w:rFonts w:ascii="Times New Roman" w:eastAsia="Calibri" w:hAnsi="Times New Roman" w:cs="Times New Roman"/>
          <w:shd w:val="clear" w:color="auto" w:fill="FFFFFF"/>
        </w:rPr>
        <w:t>Stručna povjerenstva pružaju stručnu pomoć općini odnosno gradu u roku u kojem su imenovana. U svojem radu stručna povjerenstva općine, grada i županije surađuju.</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rPr>
          <w:rFonts w:ascii="Times New Roman" w:eastAsia="Calibri" w:hAnsi="Times New Roman" w:cs="Times New Roman"/>
          <w:b/>
          <w:bCs/>
          <w:i/>
          <w:iCs/>
        </w:rPr>
      </w:pPr>
      <w:r w:rsidRPr="00661C0A">
        <w:rPr>
          <w:rFonts w:ascii="Times New Roman" w:eastAsia="Calibri" w:hAnsi="Times New Roman" w:cs="Times New Roman"/>
          <w:b/>
          <w:bCs/>
          <w:i/>
          <w:iCs/>
        </w:rPr>
        <w:t xml:space="preserve">Plan djelovanja sastoji se: </w:t>
      </w:r>
    </w:p>
    <w:p w:rsidR="00E732EF" w:rsidRPr="00661C0A" w:rsidRDefault="00E732EF" w:rsidP="00E732EF">
      <w:pPr>
        <w:numPr>
          <w:ilvl w:val="0"/>
          <w:numId w:val="13"/>
        </w:numPr>
        <w:contextualSpacing/>
        <w:jc w:val="both"/>
        <w:rPr>
          <w:rFonts w:ascii="Times New Roman" w:eastAsia="Calibri" w:hAnsi="Times New Roman" w:cs="Times New Roman"/>
        </w:rPr>
      </w:pPr>
      <w:r w:rsidRPr="00661C0A">
        <w:rPr>
          <w:rFonts w:ascii="Times New Roman" w:eastAsia="Calibri" w:hAnsi="Times New Roman" w:cs="Times New Roman"/>
        </w:rPr>
        <w:t xml:space="preserve">popis mjera i nositelja mjera u slučaju nastajanja prirodne nepogode </w:t>
      </w:r>
    </w:p>
    <w:p w:rsidR="00E732EF" w:rsidRPr="00661C0A" w:rsidRDefault="00E732EF" w:rsidP="00E732EF">
      <w:pPr>
        <w:numPr>
          <w:ilvl w:val="0"/>
          <w:numId w:val="13"/>
        </w:numPr>
        <w:contextualSpacing/>
        <w:jc w:val="both"/>
        <w:rPr>
          <w:rFonts w:ascii="Times New Roman" w:eastAsia="Calibri" w:hAnsi="Times New Roman" w:cs="Times New Roman"/>
        </w:rPr>
      </w:pPr>
      <w:r w:rsidRPr="00661C0A">
        <w:rPr>
          <w:rFonts w:ascii="Times New Roman" w:eastAsia="Calibri" w:hAnsi="Times New Roman" w:cs="Times New Roman"/>
        </w:rPr>
        <w:t xml:space="preserve">procjene osiguranja opreme i drugih sredstava za zaštitu i sprječavanje stradanja imovine, gospodarskih funkcija i stradanja stanovništva </w:t>
      </w:r>
    </w:p>
    <w:p w:rsidR="00E732EF" w:rsidRPr="00661C0A" w:rsidRDefault="00E732EF" w:rsidP="00E732EF">
      <w:pPr>
        <w:numPr>
          <w:ilvl w:val="0"/>
          <w:numId w:val="13"/>
        </w:numPr>
        <w:contextualSpacing/>
        <w:jc w:val="both"/>
        <w:rPr>
          <w:rFonts w:ascii="Times New Roman" w:eastAsia="Calibri" w:hAnsi="Times New Roman" w:cs="Times New Roman"/>
        </w:rPr>
      </w:pPr>
      <w:r w:rsidRPr="00661C0A">
        <w:rPr>
          <w:rFonts w:ascii="Times New Roman" w:eastAsia="Calibri" w:hAnsi="Times New Roman" w:cs="Times New Roman"/>
        </w:rPr>
        <w:t xml:space="preserve">sve druge mjere koje uključuju suradnju s nadležnim tijelima iz ovoga Zakona i/ili drugih tijela, znanstvenih ustanova i stručnjaka za područje prirodnih nepogoda.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lastRenderedPageBreak/>
        <w:t xml:space="preserve">Dana 26. veljače 2019. godine, dopisom Ministarstva financija KLASA:422-02/19-01/27; URBROJ: 513-06-02-19-5 pojašnjena su određena tumačenja pojedinih dijelova čl. 17. Zakona, te je u stavku 7. navedeno „Bitnim je uzeti u obzir kako se u konkretnom ne ulazi u područje zaštite i spašavanja koje je određeno drugim propisima“. </w:t>
      </w:r>
    </w:p>
    <w:p w:rsidR="00E732EF" w:rsidRPr="00661C0A" w:rsidRDefault="00E732EF" w:rsidP="00E732EF">
      <w:pPr>
        <w:numPr>
          <w:ilvl w:val="0"/>
          <w:numId w:val="2"/>
        </w:numPr>
        <w:contextualSpacing/>
        <w:jc w:val="both"/>
        <w:rPr>
          <w:rFonts w:ascii="Times New Roman" w:eastAsia="Calibri" w:hAnsi="Times New Roman" w:cs="Times New Roman"/>
        </w:rPr>
      </w:pPr>
      <w:r w:rsidRPr="00661C0A">
        <w:rPr>
          <w:rFonts w:ascii="Times New Roman" w:eastAsia="Calibri" w:hAnsi="Times New Roman" w:cs="Times New Roman"/>
        </w:rPr>
        <w:t>Općina Sveti Juraj na Bregu izradila je Procjenu rizika od velikih nesreća Općine i Plan djelovanja civilne zaštite Općine Sveti Juraj na Bregu, koji detaljno procjenjuju rizike i postupanja i u području prirodnih nepogoda, a ovaj je Plan u suglasju s njima.</w:t>
      </w:r>
    </w:p>
    <w:p w:rsidR="00E732EF" w:rsidRPr="00661C0A" w:rsidRDefault="00E732EF" w:rsidP="00E732EF">
      <w:pPr>
        <w:numPr>
          <w:ilvl w:val="0"/>
          <w:numId w:val="2"/>
        </w:numPr>
        <w:contextualSpacing/>
        <w:jc w:val="both"/>
        <w:rPr>
          <w:rFonts w:ascii="Times New Roman" w:eastAsia="Calibri" w:hAnsi="Times New Roman" w:cs="Times New Roman"/>
        </w:rPr>
      </w:pPr>
      <w:r w:rsidRPr="00661C0A">
        <w:rPr>
          <w:rFonts w:ascii="Times New Roman" w:eastAsia="Calibri" w:hAnsi="Times New Roman" w:cs="Times New Roman"/>
        </w:rPr>
        <w:t>Uz obradu požara otvorenih područja u Procjeni rizika, problematika požara je detaljno obrađena u Procjeni ugroženosti od požara i tehnoloških eksplozija Općine kao i slijednom Planu zaštite od požara, te se, također, neće dodatno razrađivati ovim Planom,</w:t>
      </w:r>
    </w:p>
    <w:p w:rsidR="00E732EF" w:rsidRPr="00661C0A" w:rsidRDefault="00E732EF" w:rsidP="00E732EF">
      <w:pPr>
        <w:ind w:left="720"/>
        <w:contextualSpacing/>
        <w:jc w:val="both"/>
        <w:rPr>
          <w:rFonts w:ascii="Times New Roman" w:eastAsia="Calibri" w:hAnsi="Times New Roman" w:cs="Times New Roman"/>
        </w:rPr>
      </w:pPr>
    </w:p>
    <w:p w:rsidR="00E732EF" w:rsidRPr="00661C0A" w:rsidRDefault="00E732EF" w:rsidP="00E732EF">
      <w:pPr>
        <w:contextualSpacing/>
        <w:jc w:val="both"/>
        <w:rPr>
          <w:rFonts w:ascii="Times New Roman" w:eastAsia="Calibri" w:hAnsi="Times New Roman" w:cs="Times New Roman"/>
        </w:rPr>
      </w:pPr>
      <w:r w:rsidRPr="00661C0A">
        <w:rPr>
          <w:rFonts w:ascii="Times New Roman" w:eastAsia="Calibri" w:hAnsi="Times New Roman" w:cs="Times New Roman"/>
        </w:rPr>
        <w:t xml:space="preserve">Sa izradom ovog Plana Općina je sačekala objavu </w:t>
      </w:r>
      <w:r w:rsidRPr="00661C0A">
        <w:rPr>
          <w:rFonts w:ascii="Times New Roman" w:eastAsia="Calibri" w:hAnsi="Times New Roman" w:cs="Times New Roman"/>
          <w:b/>
          <w:bCs/>
        </w:rPr>
        <w:t>Pravilnika o registru šteta od prirodnih nepogoda</w:t>
      </w:r>
      <w:r w:rsidRPr="00661C0A">
        <w:rPr>
          <w:rFonts w:ascii="Times New Roman" w:eastAsia="Calibri" w:hAnsi="Times New Roman" w:cs="Times New Roman"/>
        </w:rPr>
        <w:t xml:space="preserve"> (NN  65/19.) koji je kasnija objavljen a sastavni je dio predmetnog Zakona.</w:t>
      </w:r>
    </w:p>
    <w:p w:rsidR="00E732EF" w:rsidRPr="00661C0A" w:rsidRDefault="00E732EF" w:rsidP="00E732EF">
      <w:pPr>
        <w:spacing w:after="0" w:line="240" w:lineRule="auto"/>
        <w:rPr>
          <w:rFonts w:ascii="Calibri" w:eastAsia="Calibri" w:hAnsi="Calibri" w:cs="Times New Roman"/>
        </w:rPr>
      </w:pPr>
      <w:r w:rsidRPr="00661C0A">
        <w:rPr>
          <w:rFonts w:ascii="Calibri" w:eastAsia="Calibri" w:hAnsi="Calibri" w:cs="Times New Roman"/>
        </w:rPr>
        <w:t xml:space="preserve"> </w:t>
      </w:r>
    </w:p>
    <w:p w:rsidR="00E732EF" w:rsidRPr="00661C0A" w:rsidRDefault="00E732EF" w:rsidP="00E732EF">
      <w:pPr>
        <w:rPr>
          <w:rFonts w:ascii="Times New Roman" w:eastAsia="Calibri" w:hAnsi="Times New Roman" w:cs="Times New Roman"/>
          <w:b/>
          <w:bCs/>
        </w:rPr>
      </w:pPr>
      <w:r w:rsidRPr="00661C0A">
        <w:rPr>
          <w:rFonts w:ascii="Times New Roman" w:eastAsia="Calibri" w:hAnsi="Times New Roman" w:cs="Times New Roman"/>
        </w:rPr>
        <w:t xml:space="preserve"> </w:t>
      </w:r>
      <w:r w:rsidRPr="00661C0A">
        <w:rPr>
          <w:rFonts w:ascii="Times New Roman" w:eastAsia="Calibri" w:hAnsi="Times New Roman" w:cs="Times New Roman"/>
          <w:b/>
          <w:bCs/>
        </w:rPr>
        <w:t xml:space="preserve">1. MOGUĆE UGROZE NA PODRUČJU OPĆINE SVETI JURAJ NA BREGU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 1.1. UGROZE DEFINIRANE ZAKONOM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Temeljem članka 3. Zakona  prirodnom nepogodom u smislu ovoga Zakona, smatraju se iznenadne okolnosti uzrokovane nepovoljnim vremenskim prilikama, seizmičkim uzrocima i drugim prirodnim uzrocima koje prekidaju normalno odvijanje života, uzrokuju žrtve, štetu na imovini i/ili njezin gubitak te štetu na javnoj infrastrukturi i/ili u okolišu. </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i/>
          <w:iCs/>
          <w:u w:val="single"/>
        </w:rPr>
        <w:t>Prirodnom nepogodom smatraju se</w:t>
      </w:r>
      <w:r w:rsidRPr="00661C0A">
        <w:rPr>
          <w:rFonts w:ascii="Times New Roman" w:eastAsia="Calibri" w:hAnsi="Times New Roman" w:cs="Times New Roman"/>
          <w:b/>
          <w:bCs/>
        </w:rPr>
        <w:t xml:space="preserve">: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1. potres</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2. olujni i orkanski vjetar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3. požar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4. poplava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5. suša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6. tuča, kiša koja se smrzava u dodiru s podlogom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7. mraz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8. izvanredno velika visina snijega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9. snježni nanos i lavina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10. nagomilavanje leda na vodotocima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11. klizanje, tečenje, odronjavanje i prevrtanje zemljišta </w:t>
      </w:r>
    </w:p>
    <w:p w:rsidR="00E732EF" w:rsidRPr="00661C0A" w:rsidRDefault="00E732EF" w:rsidP="00E732EF">
      <w:p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12. druge pojave takva opsega koje, ovisno o mjesnim prilikama, uzrokuju bitne poremećaje u životu ljudi na određenom području. </w:t>
      </w:r>
    </w:p>
    <w:p w:rsidR="00E732EF" w:rsidRPr="00661C0A" w:rsidRDefault="00E732EF" w:rsidP="00E732EF">
      <w:pPr>
        <w:spacing w:after="0" w:line="240" w:lineRule="auto"/>
        <w:rPr>
          <w:rFonts w:ascii="Calibri" w:eastAsia="Calibri" w:hAnsi="Calibri" w:cs="Arial"/>
        </w:rPr>
      </w:pPr>
    </w:p>
    <w:p w:rsidR="00E732EF" w:rsidRPr="00661C0A" w:rsidRDefault="00E732EF" w:rsidP="00E732EF">
      <w:pPr>
        <w:spacing w:after="0"/>
        <w:jc w:val="both"/>
        <w:rPr>
          <w:rFonts w:ascii="Times New Roman" w:eastAsia="Calibri" w:hAnsi="Times New Roman" w:cs="Times New Roman"/>
        </w:rPr>
      </w:pPr>
      <w:r w:rsidRPr="00661C0A">
        <w:rPr>
          <w:rFonts w:ascii="Times New Roman" w:eastAsia="Calibri" w:hAnsi="Times New Roman" w:cs="Times New Roman"/>
        </w:rPr>
        <w:t xml:space="preserve">U smislu ovoga Zakona, štetama od prirodnih nepogoda </w:t>
      </w:r>
      <w:r w:rsidRPr="00661C0A">
        <w:rPr>
          <w:rFonts w:ascii="Times New Roman" w:eastAsia="Calibri" w:hAnsi="Times New Roman" w:cs="Times New Roman"/>
          <w:b/>
          <w:bCs/>
          <w:u w:val="single"/>
        </w:rPr>
        <w:t>ne smatraju se</w:t>
      </w:r>
      <w:r w:rsidRPr="00661C0A">
        <w:rPr>
          <w:rFonts w:ascii="Times New Roman" w:eastAsia="Calibri" w:hAnsi="Times New Roman" w:cs="Times New Roman"/>
        </w:rPr>
        <w:t xml:space="preserve"> one štete koje su namjerno izazvane na vlastitoj imovini te štete koje su nastale zbog nemara i/ili zbog nepoduzimanja propisanih mjera zaštite. </w:t>
      </w:r>
    </w:p>
    <w:p w:rsidR="00E732EF" w:rsidRPr="00661C0A" w:rsidRDefault="00E732EF" w:rsidP="00E732EF">
      <w:pPr>
        <w:shd w:val="clear" w:color="auto" w:fill="FFFFFF"/>
        <w:jc w:val="both"/>
        <w:rPr>
          <w:rFonts w:ascii="Times New Roman" w:eastAsia="Calibri" w:hAnsi="Times New Roman" w:cs="Times New Roman"/>
        </w:rPr>
      </w:pPr>
      <w:r w:rsidRPr="00661C0A">
        <w:rPr>
          <w:rFonts w:ascii="Times New Roman" w:eastAsia="Calibri" w:hAnsi="Times New Roman" w:cs="Times New Roman"/>
          <w:u w:val="single"/>
          <w:shd w:val="clear" w:color="auto" w:fill="DBE5F1"/>
        </w:rPr>
        <w:t>Prirodna nepogoda može se proglasiti</w:t>
      </w:r>
      <w:r w:rsidRPr="00661C0A">
        <w:rPr>
          <w:rFonts w:ascii="Times New Roman" w:eastAsia="Calibri" w:hAnsi="Times New Roman" w:cs="Times New Roman"/>
          <w:shd w:val="clear" w:color="auto" w:fill="DBE5F1"/>
        </w:rPr>
        <w:t xml:space="preserve">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r w:rsidRPr="00661C0A">
        <w:rPr>
          <w:rFonts w:ascii="Times New Roman" w:eastAsia="Calibri" w:hAnsi="Times New Roman" w:cs="Times New Roman"/>
        </w:rPr>
        <w:t xml:space="preserve"> </w:t>
      </w: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t xml:space="preserve"> Ispunjenje uvjeta iz gornjeg stavka utvrđuje </w:t>
      </w:r>
      <w:r w:rsidRPr="00661C0A">
        <w:rPr>
          <w:rFonts w:ascii="Times New Roman" w:eastAsia="Calibri" w:hAnsi="Times New Roman" w:cs="Times New Roman"/>
          <w:b/>
          <w:bCs/>
        </w:rPr>
        <w:t>Općinsko povjerenstvo Općine Sveti Juraj na Bregu.</w:t>
      </w:r>
      <w:r w:rsidRPr="00661C0A">
        <w:rPr>
          <w:rFonts w:ascii="Times New Roman" w:eastAsia="Calibri" w:hAnsi="Times New Roman" w:cs="Times New Roman"/>
        </w:rPr>
        <w:t xml:space="preserve"> </w:t>
      </w:r>
    </w:p>
    <w:p w:rsidR="008C6040" w:rsidRPr="00661C0A" w:rsidRDefault="008C6040" w:rsidP="00E732EF">
      <w:pPr>
        <w:rPr>
          <w:rFonts w:ascii="Times New Roman" w:eastAsia="Calibri" w:hAnsi="Times New Roman" w:cs="Times New Roman"/>
        </w:rPr>
      </w:pP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lastRenderedPageBreak/>
        <w:t xml:space="preserve"> 1.2. UGROZE ZABILJEŽENE NA PODRUČJU OPĆINE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Temeljem ranije Procjene ugroženosti od katastrofa i velikih nesreća za područje Općine kao i Procjene rizika od velikih nesreća za</w:t>
      </w:r>
      <w:r w:rsidR="008C6040" w:rsidRPr="00661C0A">
        <w:rPr>
          <w:rFonts w:ascii="Times New Roman" w:eastAsia="Calibri" w:hAnsi="Times New Roman" w:cs="Times New Roman"/>
        </w:rPr>
        <w:t xml:space="preserve"> područje Općine (2017.godine, </w:t>
      </w:r>
      <w:r w:rsidRPr="00661C0A">
        <w:rPr>
          <w:rFonts w:ascii="Times New Roman" w:eastAsia="Calibri" w:hAnsi="Times New Roman" w:cs="Times New Roman"/>
        </w:rPr>
        <w:t>revizija 9/2020</w:t>
      </w:r>
      <w:r w:rsidR="008C6040" w:rsidRPr="00661C0A">
        <w:rPr>
          <w:rFonts w:ascii="Times New Roman" w:eastAsia="Calibri" w:hAnsi="Times New Roman" w:cs="Times New Roman"/>
        </w:rPr>
        <w:t xml:space="preserve">. </w:t>
      </w:r>
      <w:r w:rsidR="00F23D02" w:rsidRPr="00661C0A">
        <w:rPr>
          <w:rFonts w:ascii="Times New Roman" w:eastAsia="Calibri" w:hAnsi="Times New Roman" w:cs="Times New Roman"/>
        </w:rPr>
        <w:t>i ažu</w:t>
      </w:r>
      <w:r w:rsidR="008C6040" w:rsidRPr="00661C0A">
        <w:rPr>
          <w:rFonts w:ascii="Times New Roman" w:eastAsia="Calibri" w:hAnsi="Times New Roman" w:cs="Times New Roman"/>
        </w:rPr>
        <w:t>riranja od listopada 2021. godine</w:t>
      </w:r>
      <w:r w:rsidRPr="00661C0A">
        <w:rPr>
          <w:rFonts w:ascii="Times New Roman" w:eastAsia="Calibri" w:hAnsi="Times New Roman" w:cs="Times New Roman"/>
        </w:rPr>
        <w:t>), na području Općine Sveti Juraj na Bregu proglašavanje</w:t>
      </w:r>
      <w:r w:rsidRPr="00661C0A">
        <w:rPr>
          <w:rFonts w:ascii="Times New Roman" w:eastAsia="Calibri" w:hAnsi="Times New Roman" w:cs="Times New Roman"/>
          <w:b/>
          <w:bCs/>
        </w:rPr>
        <w:t xml:space="preserve"> </w:t>
      </w:r>
      <w:r w:rsidRPr="00661C0A">
        <w:rPr>
          <w:rFonts w:ascii="Times New Roman" w:eastAsia="Calibri" w:hAnsi="Times New Roman" w:cs="Times New Roman"/>
          <w:b/>
          <w:bCs/>
          <w:u w:val="single"/>
        </w:rPr>
        <w:t>stanja elementarnih nepogoda</w:t>
      </w:r>
      <w:r w:rsidRPr="00661C0A">
        <w:rPr>
          <w:rFonts w:ascii="Times New Roman" w:eastAsia="Calibri" w:hAnsi="Times New Roman" w:cs="Times New Roman"/>
          <w:b/>
          <w:bCs/>
        </w:rPr>
        <w:t xml:space="preserve"> </w:t>
      </w:r>
      <w:r w:rsidRPr="00661C0A">
        <w:rPr>
          <w:rFonts w:ascii="Times New Roman" w:eastAsia="Calibri" w:hAnsi="Times New Roman" w:cs="Times New Roman"/>
        </w:rPr>
        <w:t>u proteklih 15 godina</w:t>
      </w:r>
      <w:r w:rsidRPr="00661C0A">
        <w:rPr>
          <w:rFonts w:ascii="Times New Roman" w:eastAsia="Calibri" w:hAnsi="Times New Roman" w:cs="Times New Roman"/>
          <w:b/>
          <w:bCs/>
        </w:rPr>
        <w:t xml:space="preserve"> </w:t>
      </w:r>
      <w:r w:rsidRPr="00661C0A">
        <w:rPr>
          <w:rFonts w:ascii="Times New Roman" w:eastAsia="Calibri" w:hAnsi="Times New Roman" w:cs="Times New Roman"/>
        </w:rPr>
        <w:t>bilo je:</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2007.godine, SUŠA, sa utvrđenom visinom šteta od 175.648,80 kn</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2008.godine (srpanj), OLUJNO NEVRIJEME S TUČOM, sa utvrđenom štetom od 34 mil.kn</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2012.godina (travanj)- MRAZ i kolovoz-SUŠA, nije vršeno utvrđivanje štete</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2013.godina ( travanj- KLIZIŠTA TLA, sa utvrđenom visinom šteta od 2,1 mil.kuna</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2014.godina KLIZIŠTA TLA, sa utvrđenom visinom šteta od 2,6 mil.kuna</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2015.godina KLIZIŠTA TLA (groblje) sa utvrđenom visinom šteta od 500 tisuća kuna</w:t>
      </w:r>
    </w:p>
    <w:p w:rsidR="00E732EF" w:rsidRPr="00661C0A" w:rsidRDefault="00E732EF" w:rsidP="00E732EF">
      <w:pPr>
        <w:numPr>
          <w:ilvl w:val="0"/>
          <w:numId w:val="40"/>
        </w:numPr>
        <w:spacing w:after="0" w:line="240" w:lineRule="auto"/>
        <w:rPr>
          <w:rFonts w:ascii="Times New Roman" w:eastAsia="Calibri" w:hAnsi="Times New Roman" w:cs="Arial"/>
          <w:noProof/>
        </w:rPr>
      </w:pPr>
      <w:r w:rsidRPr="00661C0A">
        <w:rPr>
          <w:rFonts w:ascii="Times New Roman" w:eastAsia="Calibri" w:hAnsi="Times New Roman" w:cs="Arial"/>
          <w:noProof/>
        </w:rPr>
        <w:t>2016.godine (travanj) MRAZ sa utvrđenom visinom šteta od 4 mil.kuna</w:t>
      </w:r>
    </w:p>
    <w:p w:rsidR="00E732EF" w:rsidRPr="00661C0A" w:rsidRDefault="00E732EF" w:rsidP="00F23D02">
      <w:pPr>
        <w:numPr>
          <w:ilvl w:val="0"/>
          <w:numId w:val="40"/>
        </w:numPr>
        <w:spacing w:after="0"/>
        <w:jc w:val="both"/>
        <w:rPr>
          <w:rFonts w:ascii="Times New Roman" w:eastAsia="Calibri" w:hAnsi="Times New Roman" w:cs="Times New Roman"/>
        </w:rPr>
      </w:pPr>
      <w:r w:rsidRPr="00661C0A">
        <w:rPr>
          <w:rFonts w:ascii="Times New Roman" w:eastAsia="Calibri" w:hAnsi="Times New Roman" w:cs="Arial"/>
          <w:noProof/>
        </w:rPr>
        <w:t>2020.godine (ožujak) MRAZ sa utvrđenom visinom šteta od 1,6 mil.kuna</w:t>
      </w:r>
    </w:p>
    <w:p w:rsidR="00F23D02" w:rsidRPr="00661C0A" w:rsidRDefault="00F23D02" w:rsidP="00E732EF">
      <w:pPr>
        <w:numPr>
          <w:ilvl w:val="0"/>
          <w:numId w:val="40"/>
        </w:numPr>
        <w:jc w:val="both"/>
        <w:rPr>
          <w:rFonts w:ascii="Times New Roman" w:eastAsia="Calibri" w:hAnsi="Times New Roman" w:cs="Times New Roman"/>
        </w:rPr>
      </w:pPr>
      <w:r w:rsidRPr="00661C0A">
        <w:rPr>
          <w:rFonts w:ascii="Times New Roman" w:eastAsia="Calibri" w:hAnsi="Times New Roman" w:cs="Arial"/>
          <w:noProof/>
        </w:rPr>
        <w:t>2021. godine (travanj) MRAZ sa utvrđenom visinom šteta od 1,6 mil.kuna</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Važećom Procjenom rizika od velikih nesreća Općine ( 2017.godine i Revizija I. 2020.godine</w:t>
      </w:r>
      <w:r w:rsidR="00F23D02" w:rsidRPr="00661C0A">
        <w:rPr>
          <w:rFonts w:ascii="Times New Roman" w:eastAsia="Calibri" w:hAnsi="Times New Roman" w:cs="Times New Roman"/>
        </w:rPr>
        <w:t xml:space="preserve"> i ažuriranja</w:t>
      </w:r>
      <w:r w:rsidRPr="00661C0A">
        <w:rPr>
          <w:rFonts w:ascii="Times New Roman" w:eastAsia="Calibri" w:hAnsi="Times New Roman" w:cs="Times New Roman"/>
        </w:rPr>
        <w:t xml:space="preserve">), kao i pripadajućim Planom djelovanja civilne zaštite Općine, obrađene su slijedeće prirodne ugroze: </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Potres </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 xml:space="preserve">Poplava </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Ekstremne vremenske pojave- snijeg i led, vjetar, tuča,mraz i dr.</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Suše</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Epidemije i pandemije</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Ekstremne temperature</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Klizišta tla</w:t>
      </w:r>
    </w:p>
    <w:p w:rsidR="00E732EF" w:rsidRPr="00661C0A" w:rsidRDefault="00E732EF" w:rsidP="00E732EF">
      <w:pPr>
        <w:numPr>
          <w:ilvl w:val="0"/>
          <w:numId w:val="4"/>
        </w:numPr>
        <w:spacing w:after="0" w:line="240" w:lineRule="auto"/>
        <w:rPr>
          <w:rFonts w:ascii="Times New Roman" w:eastAsia="Calibri" w:hAnsi="Times New Roman" w:cs="Times New Roman"/>
        </w:rPr>
      </w:pPr>
      <w:r w:rsidRPr="00661C0A">
        <w:rPr>
          <w:rFonts w:ascii="Times New Roman" w:eastAsia="Calibri" w:hAnsi="Times New Roman" w:cs="Times New Roman"/>
        </w:rPr>
        <w:t>Procjenom ugroženosti od požara i Planom zaštite od požara Općine obrađeni požari otvorenih prostora</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1.3. UGROZE KOJE ĆE SE OBRAĐIVATI PLANOM DJELOVANJA U PODRUČJU PRIRODNIH NEPOGODA </w:t>
      </w: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rPr>
        <w:t xml:space="preserve">Procjenom rizika od velikih nesreća Općine Sveti Juraj na Bregu (dokument CZ) identificirane predmetne ugroze (rizici) detaljno su obrađeni i procijenjeni, osobito </w:t>
      </w:r>
      <w:r w:rsidRPr="00661C0A">
        <w:rPr>
          <w:rFonts w:ascii="Times New Roman" w:eastAsia="Calibri" w:hAnsi="Times New Roman" w:cs="Times New Roman"/>
          <w:b/>
          <w:bCs/>
        </w:rPr>
        <w:t>potresi i klizišta tla</w:t>
      </w:r>
      <w:r w:rsidRPr="00661C0A">
        <w:rPr>
          <w:rFonts w:ascii="Times New Roman" w:eastAsia="Calibri" w:hAnsi="Times New Roman" w:cs="Times New Roman"/>
        </w:rPr>
        <w:t xml:space="preserve"> – koji mogu imati i obilježje velikih nesreća pa i katastrofa. Temeljem toga potom je napravljen i Plan djelovanja CZ, </w:t>
      </w:r>
      <w:r w:rsidRPr="00661C0A">
        <w:rPr>
          <w:rFonts w:ascii="Times New Roman" w:eastAsia="Calibri" w:hAnsi="Times New Roman" w:cs="Times New Roman"/>
          <w:u w:val="single"/>
        </w:rPr>
        <w:t>te se u ovom Planu neće ponavljati.</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Važećom Procjenom ugroženosti od požara, kao i pripadajućim Planom zaštite od požara obrađuju se mjere i postupci u slučaju požara i tehnoloških eksplozija te se ovim Planom neće obrađivati problematika požara otvorenog tipa. </w:t>
      </w: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u w:val="single"/>
        </w:rPr>
        <w:t xml:space="preserve">Ovim Planom će se obrađivati mjere i postupci  Općine Sveti Juraj na Bregu u slučaju najčešćih prirodnih nepogoda: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Suše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Olujno i orkansko nevrijeme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Snježne oborine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Poledice </w:t>
      </w:r>
    </w:p>
    <w:p w:rsidR="00E732EF" w:rsidRPr="00661C0A" w:rsidRDefault="00E732EF" w:rsidP="00E732EF">
      <w:pPr>
        <w:numPr>
          <w:ilvl w:val="0"/>
          <w:numId w:val="6"/>
        </w:numPr>
        <w:spacing w:after="0" w:line="240" w:lineRule="auto"/>
        <w:rPr>
          <w:rFonts w:ascii="Times New Roman" w:eastAsia="Calibri" w:hAnsi="Times New Roman" w:cs="Times New Roman"/>
          <w:b/>
        </w:rPr>
      </w:pPr>
      <w:r w:rsidRPr="00661C0A">
        <w:rPr>
          <w:rFonts w:ascii="Times New Roman" w:eastAsia="Calibri" w:hAnsi="Times New Roman" w:cs="Times New Roman"/>
          <w:b/>
        </w:rPr>
        <w:t xml:space="preserve">Tuča </w:t>
      </w:r>
    </w:p>
    <w:p w:rsidR="00E732EF" w:rsidRPr="00661C0A" w:rsidRDefault="00E732EF" w:rsidP="00F23D02">
      <w:pPr>
        <w:numPr>
          <w:ilvl w:val="0"/>
          <w:numId w:val="6"/>
        </w:numPr>
        <w:spacing w:after="0" w:line="240" w:lineRule="auto"/>
        <w:rPr>
          <w:rFonts w:ascii="Times New Roman" w:eastAsia="Calibri" w:hAnsi="Times New Roman" w:cs="Times New Roman"/>
          <w:b/>
          <w:bCs/>
        </w:rPr>
      </w:pPr>
      <w:r w:rsidRPr="00661C0A">
        <w:rPr>
          <w:rFonts w:ascii="Times New Roman" w:eastAsia="Calibri" w:hAnsi="Times New Roman" w:cs="Times New Roman"/>
          <w:b/>
          <w:bCs/>
        </w:rPr>
        <w:t>Klizanje tla, tečenje, odronjavanje i prevrtanje zemljišta</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rPr>
        <w:lastRenderedPageBreak/>
        <w:t xml:space="preserve">2. POPIS MJERA I NOSITELJA MJERA U SLUČAJU NASTAJANJA PRIRODNE NEPOGODE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Temeljem tumačenja Zakona o ublažavanju i uklanjanju posljedica prirodnih nepogoda dobivenog od Ministarstva financija KLASA:422-02/19-01/27; URBROJ: 13-06-02-19-5 od 26. veljače 2019. godine, pod pojmom mjere u smislu Zakona (čl.17. stavak 2. točka 1.) smatraju se sva djelovanja od strane JLS vezana za sanaciju nastalih šteta, ovisno o naravi, odnosno vrsti prirodne nepogode koja je izgledna za određeno područje, odnosno o posljedicama istih. </w:t>
      </w:r>
    </w:p>
    <w:p w:rsidR="00E732EF" w:rsidRPr="00661C0A" w:rsidRDefault="00E732EF" w:rsidP="00E732EF">
      <w:pPr>
        <w:rPr>
          <w:rFonts w:ascii="Times New Roman" w:eastAsia="Calibri" w:hAnsi="Times New Roman" w:cs="Times New Roman"/>
          <w:b/>
        </w:rPr>
      </w:pPr>
      <w:r w:rsidRPr="00661C0A">
        <w:rPr>
          <w:rFonts w:ascii="Times New Roman" w:eastAsia="Calibri" w:hAnsi="Times New Roman" w:cs="Times New Roman"/>
          <w:b/>
        </w:rPr>
        <w:t xml:space="preserve">  2.1. POPIS MJERA PO PRIRODNIM NEPOGODAMA </w:t>
      </w:r>
    </w:p>
    <w:p w:rsidR="00E732EF" w:rsidRPr="00661C0A" w:rsidRDefault="00E732EF" w:rsidP="00E732EF">
      <w:pPr>
        <w:spacing w:after="0"/>
        <w:jc w:val="both"/>
        <w:rPr>
          <w:rFonts w:ascii="Times New Roman" w:eastAsia="Calibri" w:hAnsi="Times New Roman" w:cs="Times New Roman"/>
        </w:rPr>
      </w:pPr>
      <w:r w:rsidRPr="00661C0A">
        <w:rPr>
          <w:rFonts w:ascii="Times New Roman" w:eastAsia="Calibri" w:hAnsi="Times New Roman" w:cs="Times New Roman"/>
        </w:rPr>
        <w:t xml:space="preserve">Kako se prirodne nepogode uglavnom javljaju iznenada i ne nastaju uvijek štete istih razmjera, u ovom dijelu moguće je provesti: </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 </w:t>
      </w:r>
      <w:r w:rsidRPr="00661C0A">
        <w:rPr>
          <w:rFonts w:ascii="Times New Roman" w:eastAsia="MS Gothic" w:hAnsi="MS Gothic" w:cs="Times New Roman"/>
        </w:rPr>
        <w:t>➢</w:t>
      </w:r>
      <w:r w:rsidRPr="00661C0A">
        <w:rPr>
          <w:rFonts w:ascii="Times New Roman" w:eastAsia="Calibri" w:hAnsi="Times New Roman" w:cs="Times New Roman"/>
        </w:rPr>
        <w:t xml:space="preserve"> </w:t>
      </w:r>
      <w:r w:rsidRPr="00661C0A">
        <w:rPr>
          <w:rFonts w:ascii="Times New Roman" w:eastAsia="Calibri" w:hAnsi="Times New Roman" w:cs="Times New Roman"/>
          <w:b/>
          <w:bCs/>
        </w:rPr>
        <w:t>preventivne mjere</w:t>
      </w:r>
      <w:r w:rsidRPr="00661C0A">
        <w:rPr>
          <w:rFonts w:ascii="Times New Roman" w:eastAsia="Calibri" w:hAnsi="Times New Roman" w:cs="Times New Roman"/>
        </w:rPr>
        <w:t xml:space="preserve"> radi umanjenja posljedica prirodne nepogode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u w:val="single"/>
        </w:rPr>
        <w:t>Preventivne mjere obuhvaćaju:</w:t>
      </w:r>
      <w:r w:rsidRPr="00661C0A">
        <w:rPr>
          <w:rFonts w:ascii="Times New Roman" w:eastAsia="Calibri" w:hAnsi="Times New Roman" w:cs="Times New Roman"/>
        </w:rPr>
        <w:t xml:space="preserve"> saniranje postojećih klizišta, uređivanje kanala i propusta uz prometnice, uređivanje korita potoka, rječica i rijeka, uređenje retencija, izgradnju barijera za sprečavanje odnošenja zemlje izvan poljoprivrednih površina,  rušenje starih i trulih stabala, postavljanje zaštitnih mreža protiv tuče i sl. </w:t>
      </w:r>
    </w:p>
    <w:p w:rsidR="00E732EF" w:rsidRPr="00661C0A" w:rsidRDefault="00E732EF" w:rsidP="00E732EF">
      <w:pPr>
        <w:rPr>
          <w:rFonts w:ascii="Times New Roman" w:eastAsia="Calibri" w:hAnsi="Times New Roman" w:cs="Times New Roman"/>
        </w:rPr>
      </w:pPr>
      <w:r w:rsidRPr="00661C0A">
        <w:rPr>
          <w:rFonts w:ascii="Times New Roman" w:eastAsia="Calibri" w:hAnsi="Times New Roman" w:cs="Times New Roman"/>
        </w:rPr>
        <w:t xml:space="preserve"> </w:t>
      </w:r>
      <w:r w:rsidRPr="00661C0A">
        <w:rPr>
          <w:rFonts w:ascii="Times New Roman" w:eastAsia="MS Gothic" w:hAnsi="MS Gothic" w:cs="Times New Roman"/>
        </w:rPr>
        <w:t>➢</w:t>
      </w:r>
      <w:r w:rsidRPr="00661C0A">
        <w:rPr>
          <w:rFonts w:ascii="Times New Roman" w:eastAsia="Calibri" w:hAnsi="Times New Roman" w:cs="Times New Roman"/>
        </w:rPr>
        <w:t xml:space="preserve"> </w:t>
      </w:r>
      <w:r w:rsidRPr="00661C0A">
        <w:rPr>
          <w:rFonts w:ascii="Times New Roman" w:eastAsia="Calibri" w:hAnsi="Times New Roman" w:cs="Times New Roman"/>
          <w:b/>
          <w:bCs/>
        </w:rPr>
        <w:t>mjere za ublažavanje i otklanjanje izravnih posljedica</w:t>
      </w:r>
      <w:r w:rsidRPr="00661C0A">
        <w:rPr>
          <w:rFonts w:ascii="Times New Roman" w:eastAsia="Calibri" w:hAnsi="Times New Roman" w:cs="Times New Roman"/>
        </w:rPr>
        <w:t xml:space="preserve"> prirodne nepogode.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u w:val="single"/>
        </w:rPr>
        <w:t>Mjere za ublažavanje i otklanjanje izravnih posljedica prirodne nepogode podrazumijevaju</w:t>
      </w:r>
      <w:r w:rsidRPr="00661C0A">
        <w:rPr>
          <w:rFonts w:ascii="Times New Roman" w:eastAsia="Calibri" w:hAnsi="Times New Roman" w:cs="Times New Roman"/>
        </w:rPr>
        <w:t xml:space="preserve">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rPr>
        <w:t xml:space="preserve">Proglašenje prirodne nepogode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Odluku o proglašenju prirodne nepogode za Općinu Sveti Juraj na Bregu donosi župan Međimurske županije na prijedlog općinskog načelnika Općine Sveti Juraj na Bregu, u slučaju da je vrijednost ukupne izravne štete najmanje 20 % vrijednosti izvornih prihoda Općine za prethodnu godinu ili ako je prirod (rod) umanjen najmanje 30 % prethodnog trogodišnjeg prosjeka na području Općine ili ako je nepogoda umanjila vrijednost imovine na području Općine najmanje 30 %.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Ispunjenje ovih uvjeta utvrđuje </w:t>
      </w:r>
      <w:r w:rsidRPr="00661C0A">
        <w:rPr>
          <w:rFonts w:ascii="Times New Roman" w:eastAsia="Calibri" w:hAnsi="Times New Roman" w:cs="Times New Roman"/>
          <w:b/>
          <w:bCs/>
        </w:rPr>
        <w:t>općinsko povjerenstvo</w:t>
      </w:r>
      <w:r w:rsidRPr="00661C0A">
        <w:rPr>
          <w:rFonts w:ascii="Times New Roman" w:eastAsia="Calibri" w:hAnsi="Times New Roman" w:cs="Times New Roman"/>
        </w:rPr>
        <w:t xml:space="preserve">. </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rPr>
        <w:t xml:space="preserve">Registar šteta, prva procjena štete te sadržaj prijave prve procjene štete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Svrha procjene šteta jest utvrđivanje vrste i veličine šteta na sredstvima i drugim dobrima, po vremenu i uzrocima nastanka, te po vlasnicima i korisnicima dobara, kao i stradanja i gubici stanovništva. Kao šteta od elementarne nepogode, za koju se može dati pomoć, smatra se izravna (direktna) šteta. Šteta se procjenjuje na području na kojem se dogodila. Uvjet za procjenu štete mora biti proglašenje prirodne nepogode. Odluka o proglašenju prirodne nepogode unosi se u Registar šteta po vrsti prirodne nepogode (</w:t>
      </w:r>
      <w:r w:rsidRPr="00661C0A">
        <w:rPr>
          <w:rFonts w:ascii="Times New Roman" w:eastAsia="Calibri" w:hAnsi="Times New Roman" w:cs="Times New Roman"/>
          <w:b/>
          <w:bCs/>
        </w:rPr>
        <w:t>Prilog Plana</w:t>
      </w:r>
      <w:r w:rsidRPr="00661C0A">
        <w:rPr>
          <w:rFonts w:ascii="Times New Roman" w:eastAsia="Calibri" w:hAnsi="Times New Roman" w:cs="Times New Roman"/>
        </w:rPr>
        <w:t>).</w:t>
      </w:r>
    </w:p>
    <w:p w:rsidR="00E732EF" w:rsidRPr="00661C0A" w:rsidRDefault="00E732EF" w:rsidP="00E732EF">
      <w:pPr>
        <w:jc w:val="both"/>
        <w:rPr>
          <w:rFonts w:ascii="Times New Roman" w:eastAsia="Calibri" w:hAnsi="Times New Roman"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Prvu procjenu štete oštećenik dostavlja općinskom povjerenstvu na propisanom obrascu PN (</w:t>
      </w:r>
      <w:r w:rsidRPr="00661C0A">
        <w:rPr>
          <w:rFonts w:ascii="Times New Roman" w:eastAsia="Calibri" w:hAnsi="Times New Roman" w:cs="Times New Roman"/>
          <w:b/>
          <w:bCs/>
        </w:rPr>
        <w:t>Prilog 3 Plana</w:t>
      </w:r>
      <w:r w:rsidRPr="00661C0A">
        <w:rPr>
          <w:rFonts w:ascii="Times New Roman" w:eastAsia="Calibri" w:hAnsi="Times New Roman" w:cs="Times New Roman"/>
        </w:rPr>
        <w:t>).</w:t>
      </w:r>
    </w:p>
    <w:p w:rsidR="00E732EF" w:rsidRPr="00661C0A" w:rsidRDefault="00E732EF" w:rsidP="00E732EF">
      <w:pPr>
        <w:jc w:val="both"/>
        <w:rPr>
          <w:rFonts w:ascii="Times New Roman" w:eastAsia="Calibri" w:hAnsi="Times New Roman" w:cs="Times New Roman"/>
          <w:i/>
          <w:iCs/>
          <w:u w:val="single"/>
        </w:rPr>
      </w:pPr>
      <w:r w:rsidRPr="00661C0A">
        <w:rPr>
          <w:rFonts w:ascii="Times New Roman" w:eastAsia="Calibri" w:hAnsi="Times New Roman" w:cs="Times New Roman"/>
          <w:i/>
          <w:iCs/>
          <w:u w:val="single"/>
        </w:rPr>
        <w:lastRenderedPageBreak/>
        <w:t xml:space="preserve">Šteta se utvrđuje za sljedeća Područja: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na građevinama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na opremi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na zemljištima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na šumama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u poljoprivredi</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u biljnoj proizvodnji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na višegodišnjim nasadima</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na obrtnim sredstvima u poljoprivredi</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u stočarstvu</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Procjena štete u ribarstvu i </w:t>
      </w:r>
      <w:proofErr w:type="spellStart"/>
      <w:r w:rsidRPr="00661C0A">
        <w:rPr>
          <w:rFonts w:ascii="Times New Roman" w:eastAsia="Calibri" w:hAnsi="Times New Roman" w:cs="Times New Roman"/>
        </w:rPr>
        <w:t>akvakulturi</w:t>
      </w:r>
      <w:proofErr w:type="spellEnd"/>
      <w:r w:rsidRPr="00661C0A">
        <w:rPr>
          <w:rFonts w:ascii="Times New Roman" w:eastAsia="Calibri" w:hAnsi="Times New Roman" w:cs="Times New Roman"/>
        </w:rPr>
        <w:t xml:space="preserve"> </w:t>
      </w:r>
    </w:p>
    <w:p w:rsidR="00E732EF" w:rsidRPr="00661C0A" w:rsidRDefault="00E732EF" w:rsidP="00E732EF">
      <w:pPr>
        <w:numPr>
          <w:ilvl w:val="0"/>
          <w:numId w:val="25"/>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Procjena štete na divljači</w:t>
      </w:r>
    </w:p>
    <w:p w:rsidR="00E732EF" w:rsidRPr="00661C0A" w:rsidRDefault="00E732EF" w:rsidP="00E732EF">
      <w:pPr>
        <w:spacing w:after="0" w:line="240" w:lineRule="auto"/>
        <w:rPr>
          <w:rFonts w:ascii="Calibri" w:eastAsia="Calibri" w:hAnsi="Calibri" w:cs="Times New Roman"/>
          <w:sz w:val="16"/>
          <w:szCs w:val="16"/>
        </w:rPr>
      </w:pPr>
    </w:p>
    <w:p w:rsidR="00E732EF" w:rsidRPr="00661C0A" w:rsidRDefault="00E732EF" w:rsidP="00E732EF">
      <w:pPr>
        <w:shd w:val="clear" w:color="auto" w:fill="FFFFFF"/>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Kako se procjenjuju pojedine gornje štete (Pravilnik o registru šteta u poljoprivredi) i pripadajući Obrasci – Prilozi, nalaze se u </w:t>
      </w:r>
      <w:r w:rsidRPr="00661C0A">
        <w:rPr>
          <w:rFonts w:ascii="Times New Roman" w:eastAsia="Calibri" w:hAnsi="Times New Roman" w:cs="Times New Roman"/>
          <w:b/>
          <w:bCs/>
        </w:rPr>
        <w:t xml:space="preserve">prilogu ovog Plana </w:t>
      </w:r>
      <w:proofErr w:type="spellStart"/>
      <w:r w:rsidRPr="00661C0A">
        <w:rPr>
          <w:rFonts w:ascii="Times New Roman" w:eastAsia="Calibri" w:hAnsi="Times New Roman" w:cs="Times New Roman"/>
          <w:b/>
          <w:bCs/>
        </w:rPr>
        <w:t>br</w:t>
      </w:r>
      <w:proofErr w:type="spellEnd"/>
      <w:r w:rsidRPr="00661C0A">
        <w:rPr>
          <w:rFonts w:ascii="Times New Roman" w:eastAsia="Calibri" w:hAnsi="Times New Roman" w:cs="Times New Roman"/>
          <w:b/>
          <w:bCs/>
        </w:rPr>
        <w:t xml:space="preserve"> 3</w:t>
      </w:r>
    </w:p>
    <w:p w:rsidR="00E732EF" w:rsidRPr="00661C0A" w:rsidRDefault="00E732EF" w:rsidP="00E732EF">
      <w:pPr>
        <w:shd w:val="clear" w:color="auto" w:fill="FFFFFF"/>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Podaci o razvrstavanju dobara i šifre pojedinačno po kulturama objavljuju se na Internet stranici Ministarstva financija </w:t>
      </w:r>
      <w:r w:rsidRPr="00661C0A">
        <w:rPr>
          <w:rFonts w:ascii="Times New Roman" w:eastAsia="Calibri" w:hAnsi="Times New Roman" w:cs="Times New Roman"/>
          <w:b/>
          <w:bCs/>
        </w:rPr>
        <w:t>www.mfin.hr.</w:t>
      </w:r>
      <w:r w:rsidRPr="00661C0A">
        <w:rPr>
          <w:rFonts w:ascii="Times New Roman" w:eastAsia="Calibri" w:hAnsi="Times New Roman" w:cs="Times New Roman"/>
        </w:rPr>
        <w:t xml:space="preserve"> </w:t>
      </w:r>
    </w:p>
    <w:p w:rsidR="00E732EF" w:rsidRPr="00661C0A" w:rsidRDefault="00E732EF" w:rsidP="00E732EF">
      <w:pPr>
        <w:shd w:val="clear" w:color="auto" w:fill="FFFFFF"/>
        <w:spacing w:after="0" w:line="240" w:lineRule="auto"/>
        <w:rPr>
          <w:rFonts w:ascii="Calibri" w:eastAsia="Calibri" w:hAnsi="Calibri"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Nakon proglašenja prirodne nepogode, u cilju dodjele novčanih sredstava za djelomičnu sanaciju šteta od prirodnih nepogoda, nadležna tijela iz članka 5. Zakona provode sljedeće radnje: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1. Prijavu prve procjene štete u Registar šteta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2. Prijavu konačne procjene štete u Registar šteta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3. Potvrdu konačne procjene štete u Registar šteta  </w:t>
      </w:r>
    </w:p>
    <w:p w:rsidR="00E732EF" w:rsidRPr="00661C0A" w:rsidRDefault="00E732EF" w:rsidP="00E732EF">
      <w:pPr>
        <w:spacing w:after="0" w:line="240" w:lineRule="auto"/>
        <w:rPr>
          <w:rFonts w:ascii="Calibri" w:eastAsia="Calibri" w:hAnsi="Calibri" w:cs="Times New Roman"/>
          <w:sz w:val="16"/>
          <w:szCs w:val="16"/>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Registar šteta je jedinstvena digitalna baza podataka o svim štetama nastalim zbog prirodnih nepogoda na području Republike Hrvatske. Sukladno članku 41. Zakona, obveznik unosa podataka u Registar šteta na </w:t>
      </w:r>
      <w:r w:rsidRPr="00661C0A">
        <w:rPr>
          <w:rFonts w:ascii="Times New Roman" w:eastAsia="Calibri" w:hAnsi="Times New Roman" w:cs="Times New Roman"/>
          <w:u w:val="single"/>
        </w:rPr>
        <w:t>razini Općine Sveti Juraj na Bregu je općinsko povjerenstvo</w:t>
      </w:r>
      <w:r w:rsidRPr="00661C0A">
        <w:rPr>
          <w:rFonts w:ascii="Times New Roman" w:eastAsia="Calibri" w:hAnsi="Times New Roman" w:cs="Times New Roman"/>
        </w:rPr>
        <w:t xml:space="preserve">. Općinsko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Sukladno članku 25. Zakona, oštećenik nakon nastanka prirodne nepogode prijavljuje štetu na imovini općinskom povjerenstvu u pisanom obliku, na propisanom obrascu, najkasnije u roku od 8 dana od dana donošenja Odluke o proglašenju prirodne nepogode. Nakon isteka roka od 8 dana općinsko povjerenstvo unosi sve zaprimljene prve procjene štete u Registar šteta najkasnije u roku od 15 dana od dana donošenja Odluke o proglašenju prirodne nepogode. Iznimno, oštećenik 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općinskog povjerenstva može se, u slučaju postojanja objektivnih razloga na koje oštećenik nije mogao utjecati, a zbog kojih je onemogućen elektronički unos podataka u Registar šteta, produljiti za 8 dana. O produljenju navedenog roka odlučuje županijsko povjerenstvo na temelju zahtjeva općinskog povjerenstva. </w:t>
      </w: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u w:val="single"/>
        </w:rPr>
        <w:t xml:space="preserve">Prijava prve procjene štete sadržava: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datum donošenja Odluke o proglašenju prirodne nepogode i njezin broj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vrsti prirodne nepogode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podatke o trajanju prirodne nepogode</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području zahvaćenom prirodnom nepogodom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lastRenderedPageBreak/>
        <w:t xml:space="preserve">podatke o vrsti, opisu te vrijednosti oštećene imovine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ukupnom iznosu prijavljene štete (članaka 25. i 26. Zakona), </w:t>
      </w:r>
    </w:p>
    <w:p w:rsidR="00E732EF" w:rsidRPr="00661C0A" w:rsidRDefault="00E732EF" w:rsidP="00E732EF">
      <w:pPr>
        <w:numPr>
          <w:ilvl w:val="0"/>
          <w:numId w:val="27"/>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podatke i informacije o potrebi žurnog djelovanja i dodjeli pomoći za sanaciju i djelomično uklanjanje posljedica prirodne nepogode te ostale podatke o prijavi štete sukladno Zakonu</w:t>
      </w:r>
    </w:p>
    <w:p w:rsidR="00E732EF" w:rsidRPr="00661C0A" w:rsidRDefault="00E732EF" w:rsidP="00E732EF">
      <w:pPr>
        <w:jc w:val="both"/>
        <w:rPr>
          <w:rFonts w:ascii="Times New Roman" w:eastAsia="Calibri" w:hAnsi="Times New Roman" w:cs="Times New Roman"/>
          <w:u w:val="single"/>
        </w:rPr>
      </w:pP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u w:val="single"/>
        </w:rPr>
        <w:t xml:space="preserve">Konačna procjena štete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Konačna procjena štete predstavlja procijenjenu vrijednost nastale štete uzrokovane prirodnom nepogodom na imovini oštećenika izražene u novčanoj vrijednosti na temelju prijave i procjene štete. Konačnu procjenu štete utvrđuje gradsko povjerenstvo na temelju izvršenog uvida u nastalu štetu na temelju prijave oštećenika. Tijekom procjene i utvrđivanja konačne procjene štete od prirodnih nepogoda posebno se utvrđuju: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stradanja stanovništva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opseg štete na imovini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opseg štete koja je nastala zbog prekida proizvodnje, prekida rada ili poremećaja u neproizvodnim djelatnostima ili umanjenog prinosa u poljoprivredi, šumarstvu ili ribarstvu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iznos troškova za ublažavanje i djelomično uklanjanje izravnih posljedica prirodnih nepogoda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opseg osiguranja imovine i života kod osiguravatelja </w:t>
      </w:r>
    </w:p>
    <w:p w:rsidR="00E732EF" w:rsidRPr="00661C0A" w:rsidRDefault="00E732EF" w:rsidP="00E732EF">
      <w:pPr>
        <w:numPr>
          <w:ilvl w:val="1"/>
          <w:numId w:val="29"/>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vlastite mogućnosti oštećenika glede uklanjanja posljedica štete</w:t>
      </w:r>
    </w:p>
    <w:p w:rsidR="00E732EF" w:rsidRPr="00661C0A" w:rsidRDefault="00E732EF" w:rsidP="00E732EF">
      <w:pPr>
        <w:jc w:val="both"/>
        <w:rPr>
          <w:rFonts w:ascii="Times New Roman" w:eastAsia="Calibri" w:hAnsi="Times New Roman" w:cs="Times New Roman"/>
        </w:rPr>
      </w:pPr>
    </w:p>
    <w:p w:rsidR="00E732EF" w:rsidRPr="00661C0A" w:rsidRDefault="00E732EF" w:rsidP="00E732EF">
      <w:pPr>
        <w:jc w:val="both"/>
        <w:rPr>
          <w:rFonts w:ascii="Times New Roman" w:eastAsia="Calibri" w:hAnsi="Times New Roman" w:cs="Times New Roman"/>
          <w:u w:val="single"/>
        </w:rPr>
      </w:pPr>
      <w:r w:rsidRPr="00661C0A">
        <w:rPr>
          <w:rFonts w:ascii="Times New Roman" w:eastAsia="Calibri" w:hAnsi="Times New Roman" w:cs="Times New Roman"/>
          <w:u w:val="single"/>
        </w:rPr>
        <w:t>Prijava konačne procjene štete sadržava:</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odluku o proglašenju prirodne nepogode s obrazloženjem,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dokumentaciji vlasništva imovine i njihovoj vrsti,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vremenu i području nastanka prirodne nepogode,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uzroku i opsegu štete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podatke o posljedicama prirodne nepogode za javni i gospodarski život Općine Sveti Juraj na Bregu </w:t>
      </w:r>
    </w:p>
    <w:p w:rsidR="00E732EF" w:rsidRPr="00661C0A" w:rsidRDefault="00E732EF" w:rsidP="00E732EF">
      <w:pPr>
        <w:numPr>
          <w:ilvl w:val="1"/>
          <w:numId w:val="31"/>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ostale statističke i vrijednosne podatke.  </w:t>
      </w:r>
    </w:p>
    <w:p w:rsidR="00E732EF" w:rsidRPr="00661C0A" w:rsidRDefault="00E732EF" w:rsidP="00E732EF">
      <w:pPr>
        <w:spacing w:after="0" w:line="240" w:lineRule="auto"/>
        <w:rPr>
          <w:rFonts w:ascii="Calibri" w:eastAsia="Calibri" w:hAnsi="Calibri" w:cs="Times New Roman"/>
        </w:rPr>
      </w:pP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Način izračuna konačne procjene štete definiran je člankom 29. Zakona. Prijavu konačne štete općinsko povjerenstvo unosi u Registar šteta sukladno rokovima iz stavaka 4. i 6. članka 28. Zakona. Županijsko povjerenstvo potom prijavljene konačne procjene štete dostavlja Državnom povjerenstvu i nadležnim ministarstvima iz članka 5. Zakona (ministarstva nadležna za financije; poljoprivredu; šumarstvo i ribarstvo; gospodarstvo; graditeljstvo i prostorno uređenje; zaštitu okoliša i energetiku; more, promet i infrastrukturu)  u roku od 60 dana od dana donošenja Odluke o proglašenju prirodne nepogode putem Registra šteta. Prilikom konačne procjene štete županijsko povjerenstvo prihvaća isključivo procjene koje je obavilo općinsko povjerenstvo. Potvrdu konačne procjene štete obavljaju nadležna ministarstva iz članka 5. Zakona, a prilikom potvrde konačne procjene štete mogu angažirati i druge znanstvene ili stručne institucije sa svrhom utvrđivanja vrijednosti konačnih šteta. Nakon potvrde konačne procjene štete prethodno spomenuta nadležna ministarstva sastavljaju izvješće s prikazom svih potvrđenih šteta iz svoje nadležnosti te na temelju njega izrađuju prijedlog o načinu dodjele pomoći za djelomičnu sanaciju šteta nastalih od prirodnih nepogoda koji dostavljaju Državnom povjerenstvu. Državno povjerenstvo pristupa provjeri i obradi podataka o konačnim procjenama šteta na temelju podataka iz Registra šteta i ostale dokumentacije te utvrđuje iznos pomoći za pojedinu vrstu štete i </w:t>
      </w:r>
      <w:proofErr w:type="spellStart"/>
      <w:r w:rsidRPr="00661C0A">
        <w:rPr>
          <w:rFonts w:ascii="Times New Roman" w:eastAsia="Calibri" w:hAnsi="Times New Roman" w:cs="Times New Roman"/>
        </w:rPr>
        <w:t>oštećenike</w:t>
      </w:r>
      <w:proofErr w:type="spellEnd"/>
      <w:r w:rsidRPr="00661C0A">
        <w:rPr>
          <w:rFonts w:ascii="Times New Roman" w:eastAsia="Calibri" w:hAnsi="Times New Roman" w:cs="Times New Roman"/>
        </w:rPr>
        <w:t xml:space="preserve"> tako da određuje postotak isplate novčanih sredstava u odnosu na </w:t>
      </w:r>
      <w:r w:rsidRPr="00661C0A">
        <w:rPr>
          <w:rFonts w:ascii="Times New Roman" w:eastAsia="Calibri" w:hAnsi="Times New Roman" w:cs="Times New Roman"/>
        </w:rPr>
        <w:lastRenderedPageBreak/>
        <w:t>iznos konačne potvrđene štete na imovini oštećenika. 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odluku.</w:t>
      </w:r>
    </w:p>
    <w:p w:rsidR="00E732EF" w:rsidRPr="00661C0A" w:rsidRDefault="00E732EF" w:rsidP="00E732EF">
      <w:pPr>
        <w:jc w:val="both"/>
        <w:rPr>
          <w:rFonts w:ascii="Times New Roman" w:eastAsia="Calibri" w:hAnsi="Times New Roman" w:cs="Times New Roman"/>
          <w:b/>
          <w:bCs/>
        </w:rPr>
      </w:pPr>
      <w:r w:rsidRPr="00661C0A">
        <w:rPr>
          <w:rFonts w:ascii="Times New Roman" w:eastAsia="Calibri" w:hAnsi="Times New Roman" w:cs="Times New Roman"/>
          <w:b/>
          <w:bCs/>
        </w:rPr>
        <w:t xml:space="preserve">Žurna pomoć te izvori sredstava pomoći za ublažavanje i djelomično uklanjanje posljedica prirodnih nepogoda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Žurna pomoć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 Žurna pomoć dodjeljuje se u svrhu djelomične sanacije štete od prirodnih nepogoda u tekućoj kalendarskoj godini: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  jedinicama lokalne i područne (regionalne) samouprave za pokriće troškova sanacije 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 </w:t>
      </w:r>
      <w:proofErr w:type="spellStart"/>
      <w:r w:rsidRPr="00661C0A">
        <w:rPr>
          <w:rFonts w:ascii="Times New Roman" w:eastAsia="Calibri" w:hAnsi="Times New Roman" w:cs="Times New Roman"/>
        </w:rPr>
        <w:t>oštećenicima</w:t>
      </w:r>
      <w:proofErr w:type="spellEnd"/>
      <w:r w:rsidRPr="00661C0A">
        <w:rPr>
          <w:rFonts w:ascii="Times New Roman" w:eastAsia="Calibri" w:hAnsi="Times New Roman" w:cs="Times New Roman"/>
        </w:rPr>
        <w:t xml:space="preserve"> fizičkim osobama koje nisu poduzetnici u smislu Zakona, a koje su pretrpjele štete na imovini, posebice ugroženim skupinama, starijima i bolesnima i ostalima kojima prijeti ugroza zdravlja i života na području zahvaćenom prirodnom nepogodom. U slučaju ispunjenja navedenih uvjeta, Općina Sveti Juraj na Bregu može isplatiti žurnu pomoć iz raspoloživih sredstava proračuna. Žurna pomoć u pravilu se dodjeljuje kao predujam i ne isključuje dodjelu pomoći u postupku koji je uređen Zakonom. Prijedlog žurne pomoći općinski načelnik upućuje Općinskom vijeću Općine Sveti Juraj na Bregu, koje na temelju njega donosi Odluku o prijedlogu žurne pomoći, koja sadržava sljedeće:</w:t>
      </w:r>
    </w:p>
    <w:p w:rsidR="00E732EF" w:rsidRPr="00661C0A" w:rsidRDefault="00E732EF" w:rsidP="00E732EF">
      <w:pPr>
        <w:numPr>
          <w:ilvl w:val="1"/>
          <w:numId w:val="33"/>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vrijednost novčanih sredstava žurne pomoći </w:t>
      </w:r>
    </w:p>
    <w:p w:rsidR="00E732EF" w:rsidRPr="00661C0A" w:rsidRDefault="00E732EF" w:rsidP="00E732EF">
      <w:pPr>
        <w:numPr>
          <w:ilvl w:val="1"/>
          <w:numId w:val="33"/>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kriteriji, način raspodjele i namjena korištenja žurne pomoći </w:t>
      </w:r>
    </w:p>
    <w:p w:rsidR="00E732EF" w:rsidRPr="00661C0A" w:rsidRDefault="00E732EF" w:rsidP="00E732EF">
      <w:pPr>
        <w:numPr>
          <w:ilvl w:val="1"/>
          <w:numId w:val="33"/>
        </w:num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drugi uvjeti i postupanja u raspodjeli žurne pomoći. </w:t>
      </w:r>
    </w:p>
    <w:p w:rsidR="00E732EF" w:rsidRPr="00661C0A" w:rsidRDefault="00E732EF" w:rsidP="00E732EF">
      <w:pPr>
        <w:spacing w:after="0" w:line="240" w:lineRule="auto"/>
        <w:rPr>
          <w:rFonts w:ascii="Calibri" w:eastAsia="Calibri" w:hAnsi="Calibri" w:cs="Times New Roman"/>
        </w:rPr>
      </w:pPr>
      <w:r w:rsidRPr="00661C0A">
        <w:rPr>
          <w:rFonts w:ascii="Calibri" w:eastAsia="Calibri" w:hAnsi="Calibri" w:cs="Times New Roman"/>
        </w:rPr>
        <w:t xml:space="preserve">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 xml:space="preserve">Vlada Republike Hrvatske također donosi odluku o dodjeli žurne pomoći te ju može donijeti i na temelju prijedloga Državnog povjerenstva i/ili jedinica lokalne i područne (regionalne) samouprave. Izvješće o utrošku dodijeljenih sredstava žurne pomoći Općina Sveti Juraj na Bregu dužna je dostaviti Vladi RH u roku navedenom u zaprimljenoj Odluci.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t>Sredstva pomoći za ublažavanje i djelomično uklanjanje posljedica prirodnih nepogoda odnose se na novčana sredstva ili ostala materijalna sredstva, kao što je oprema za zaštitu imovine fizičkih i/ili pravnih osoba, javne infrastrukture te zdravlja i života stanovništva, koja su potrebna za djelomičnu sanaciju štete nastale od prirodne nepogode.</w:t>
      </w:r>
    </w:p>
    <w:p w:rsidR="00E732EF" w:rsidRPr="00661C0A" w:rsidRDefault="00E732EF" w:rsidP="00E732EF">
      <w:pPr>
        <w:jc w:val="both"/>
        <w:rPr>
          <w:rFonts w:ascii="Times New Roman" w:eastAsia="Calibri" w:hAnsi="Times New Roman" w:cs="Times New Roman"/>
          <w:i/>
          <w:iCs/>
        </w:rPr>
      </w:pPr>
      <w:r w:rsidRPr="00661C0A">
        <w:rPr>
          <w:rFonts w:ascii="Times New Roman" w:eastAsia="Calibri" w:hAnsi="Times New Roman" w:cs="Times New Roman"/>
          <w:i/>
          <w:iCs/>
        </w:rPr>
        <w:t xml:space="preserve">Novčana sredstva i druge vrste pomoći za djelomičnu sanaciju šteta od prirodnih nepogoda na imovini oštećenika osiguravaju se iz: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1. državnog proračuna s proračunskog razdjela ministarstva nadležnog za financije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2. fondova Europske unije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 xml:space="preserve">3. donacija. </w:t>
      </w:r>
    </w:p>
    <w:p w:rsidR="00E732EF" w:rsidRPr="00661C0A" w:rsidRDefault="00E732EF" w:rsidP="00E732EF">
      <w:pPr>
        <w:jc w:val="both"/>
        <w:rPr>
          <w:rFonts w:ascii="Times New Roman" w:eastAsia="Calibri" w:hAnsi="Times New Roman" w:cs="Times New Roman"/>
        </w:rPr>
      </w:pPr>
      <w:r w:rsidRPr="00661C0A">
        <w:rPr>
          <w:rFonts w:ascii="Times New Roman" w:eastAsia="Calibri" w:hAnsi="Times New Roman" w:cs="Times New Roman"/>
        </w:rPr>
        <w:lastRenderedPageBreak/>
        <w:t xml:space="preserve">U članku 20. Zakona navedeni su slučajevi kad se sredstva pomoći za ublažavanje i djelomično uklanjanje posljedica prirodnih nepogoda </w:t>
      </w:r>
      <w:r w:rsidRPr="00661C0A">
        <w:rPr>
          <w:rFonts w:ascii="Times New Roman" w:eastAsia="Calibri" w:hAnsi="Times New Roman" w:cs="Times New Roman"/>
          <w:b/>
          <w:bCs/>
        </w:rPr>
        <w:t>ne</w:t>
      </w:r>
      <w:r w:rsidRPr="00661C0A">
        <w:rPr>
          <w:rFonts w:ascii="Times New Roman" w:eastAsia="Calibri" w:hAnsi="Times New Roman" w:cs="Times New Roman"/>
        </w:rPr>
        <w:t xml:space="preserve"> dodjeljuju. </w:t>
      </w:r>
    </w:p>
    <w:p w:rsidR="00E732EF" w:rsidRPr="00661C0A" w:rsidRDefault="00E732EF" w:rsidP="00E732EF">
      <w:pPr>
        <w:spacing w:after="0" w:line="240" w:lineRule="auto"/>
        <w:jc w:val="both"/>
        <w:rPr>
          <w:rFonts w:ascii="Times New Roman" w:eastAsia="Calibri" w:hAnsi="Times New Roman" w:cs="Times New Roman"/>
        </w:rPr>
      </w:pPr>
      <w:r w:rsidRPr="00661C0A">
        <w:rPr>
          <w:rFonts w:ascii="Times New Roman" w:eastAsia="Calibri" w:hAnsi="Times New Roman" w:cs="Times New Roman"/>
        </w:rPr>
        <w:t>Općinsko povjerenstvo putem Registra šteta podnosi županijskom povjerenstvu Izvješće o utrošku sredstava za ublažavanje i djelomično uklanjanje posljedica prirodnih nepogoda dodijeljenih iz državnog proračuna Republike Hrvat</w:t>
      </w:r>
      <w:bookmarkStart w:id="0" w:name="_GoBack"/>
      <w:bookmarkEnd w:id="0"/>
      <w:r w:rsidRPr="00661C0A">
        <w:rPr>
          <w:rFonts w:ascii="Times New Roman" w:eastAsia="Calibri" w:hAnsi="Times New Roman" w:cs="Times New Roman"/>
        </w:rPr>
        <w:t>ske. Uz Izvješće o utrošku sredstava za ublažavanje i djelomično uklanjanje posljedica prirodnih nepogoda, općinsko povjerenstvo dostavlja županijskom povjerenstvu i druge podatke u pisanom i/ili elektroničkom obliku koji osobito uključuju obrazloženja koja se odnose na utrošak i namjensko korištenje novčanih sredstava dodijeljenih iz državnog proračuna Republike Hrvatske, uključujući i izvore sredstava iz fondova Europske unije. Županijsko povjerenstvo na temelju prikupljenih podataka i izvješća podnosi Državnom izvješće o utrošku dodijeljenih sredstava za ublažavanje i djelomično uklanjanje posljedica prirodnih nepogoda sa stavke za prirodne nepogode u državnom proračunu Republike Hrvatske, putem Registra šteta i pisanim putem. U izvješću županijskog povjerenstva navode se sredstva koja se za tu štetu dodjeljuju na razini županije, grada ili općine, kao i sredstva za naknadu štete iz drugih izvora. Na temelju tih izvješća Državno povjerenstvo izrađuje skupno izvješće o utrošku dodijeljenih sredstava sa stavke za prirodne nepogode u državnom proračunu Republike Hrvatske, koji dostavlja Vladi Republike Hrvatske.</w:t>
      </w:r>
    </w:p>
    <w:p w:rsidR="00E732EF" w:rsidRPr="00661C0A" w:rsidRDefault="00E732EF" w:rsidP="00E732EF">
      <w:pPr>
        <w:spacing w:after="0" w:line="240" w:lineRule="auto"/>
        <w:rPr>
          <w:rFonts w:ascii="Calibri" w:eastAsia="Calibri" w:hAnsi="Calibri" w:cs="Times New Roman"/>
        </w:rPr>
      </w:pPr>
    </w:p>
    <w:p w:rsidR="00E732EF" w:rsidRPr="00E732EF" w:rsidRDefault="00E732EF" w:rsidP="00E732EF">
      <w:pPr>
        <w:jc w:val="both"/>
        <w:rPr>
          <w:rFonts w:ascii="Times New Roman" w:eastAsia="Calibri" w:hAnsi="Times New Roman" w:cs="Times New Roman"/>
          <w:b/>
          <w:bCs/>
        </w:rPr>
      </w:pPr>
      <w:r w:rsidRPr="00E732EF">
        <w:rPr>
          <w:rFonts w:ascii="Times New Roman" w:eastAsia="Calibri" w:hAnsi="Times New Roman" w:cs="Times New Roman"/>
          <w:b/>
          <w:bCs/>
        </w:rPr>
        <w:t xml:space="preserve">Općinsko (gradsko) i stručno povjerenstvo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Sukladno Zakonu poslove u vezi s procjenom štete i dodjele sredstava pomoći za ublažavanje i djelomično uklanjanje posljedica prirodnih nepogoda obavljaju povjerenstva. Predstavnička tijela županija i JLS dužna su imenovati povjerenstva za procjenu štete. Odluka o imenovanju županijskih povjerenstava dostavlja se Državnom povjerenstvu, a odluka o imenovanju općinskog/gradskog povjerenstva dostavlja se županijskom povjerenstvu. </w:t>
      </w:r>
    </w:p>
    <w:p w:rsidR="00E732EF" w:rsidRPr="00E732EF" w:rsidRDefault="00E732EF" w:rsidP="00E732EF">
      <w:pPr>
        <w:jc w:val="both"/>
        <w:rPr>
          <w:rFonts w:ascii="Times New Roman" w:eastAsia="Calibri" w:hAnsi="Times New Roman" w:cs="Times New Roman"/>
          <w:u w:val="single"/>
        </w:rPr>
      </w:pPr>
    </w:p>
    <w:p w:rsidR="00E732EF" w:rsidRPr="00E732EF" w:rsidRDefault="00E732EF" w:rsidP="00E732EF">
      <w:pPr>
        <w:jc w:val="both"/>
        <w:rPr>
          <w:rFonts w:ascii="Times New Roman" w:eastAsia="Calibri" w:hAnsi="Times New Roman" w:cs="Times New Roman"/>
          <w:u w:val="single"/>
        </w:rPr>
      </w:pPr>
      <w:r w:rsidRPr="00E732EF">
        <w:rPr>
          <w:rFonts w:ascii="Times New Roman" w:eastAsia="Calibri" w:hAnsi="Times New Roman" w:cs="Times New Roman"/>
          <w:u w:val="single"/>
        </w:rPr>
        <w:t xml:space="preserve">Općinska (i gradska) povjerenstva obavljaju sljedeće poslove: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utvrđuju i provjeravaju visinu štete od prirodne nepogode za područje Općine,</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unose podatke o prvim procjenama šteta u Registar šteta,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unose i prosljeđuju putem Registra šteta konačne procjene šteta županijskom povjerenstvu,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raspoređuju dodijeljena sredstva pomoći za ublažavanje i djelomično uklanjanje posljedica prirodnih nepogoda </w:t>
      </w:r>
      <w:proofErr w:type="spellStart"/>
      <w:r w:rsidRPr="00E732EF">
        <w:rPr>
          <w:rFonts w:ascii="Times New Roman" w:eastAsia="Calibri" w:hAnsi="Times New Roman" w:cs="Times New Roman"/>
        </w:rPr>
        <w:t>oštećenicima</w:t>
      </w:r>
      <w:proofErr w:type="spellEnd"/>
      <w:r w:rsidRPr="00E732EF">
        <w:rPr>
          <w:rFonts w:ascii="Times New Roman" w:eastAsia="Calibri" w:hAnsi="Times New Roman" w:cs="Times New Roman"/>
        </w:rPr>
        <w:t xml:space="preserve">,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prate i nadziru namjensko korištenje odobrenih sredstava pomoći za djelomičnu sanaciju šteta od prirodnih nepogoda prema Zakonu, izrađuju izvješća o utrošku dodijeljenih sredstava žurne pomoći i sredstava pomoći za ublažavanje i djelomično uklanjanje posljedica prirodnih nepogoda i dostavljaju ih županijskom povjerenstvu putem Registra šteta,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surađuju sa županijskim povjerenstvom u provedbi Zakona,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donose </w:t>
      </w:r>
      <w:r w:rsidRPr="00E732EF">
        <w:rPr>
          <w:rFonts w:ascii="Times New Roman" w:eastAsia="Calibri" w:hAnsi="Times New Roman" w:cs="Times New Roman"/>
          <w:u w:val="single"/>
        </w:rPr>
        <w:t>Plan djelovanja u području prirodnih nepogoda iz svoje nadležnosti</w:t>
      </w:r>
      <w:r w:rsidRPr="00E732EF">
        <w:rPr>
          <w:rFonts w:ascii="Times New Roman" w:eastAsia="Calibri" w:hAnsi="Times New Roman" w:cs="Times New Roman"/>
        </w:rPr>
        <w:t xml:space="preserve">, </w:t>
      </w:r>
    </w:p>
    <w:p w:rsidR="00E732EF" w:rsidRPr="00E732EF" w:rsidRDefault="00E732EF" w:rsidP="00E732EF">
      <w:pPr>
        <w:numPr>
          <w:ilvl w:val="1"/>
          <w:numId w:val="39"/>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obavljaju druge poslove i aktivnosti iz svojeg djelokruga u suradnji sa županijskim povjerenstvima. </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Sukladno članku 15. Zakona, kada gradsko povjerenstvo nije u mogućnosti, zbog nedostatka specifičnih stručnih znanja, procijeniti štetu od prirodnih nepogoda, može zatražiti od županijskog povjerenstva imenovanje stručnog povjerenstva na području u kojem je proglašena prirodna nepogoda. </w:t>
      </w: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t>Stručna povjerenstva</w:t>
      </w:r>
      <w:r w:rsidRPr="00E732EF">
        <w:rPr>
          <w:rFonts w:ascii="Times New Roman" w:eastAsia="Calibri" w:hAnsi="Times New Roman" w:cs="Times New Roman"/>
        </w:rPr>
        <w:t xml:space="preserve"> pružaju stručnu pomoć općini (gradu) u roku u kojem su imenovana i surađuju s općinskim/gradskim povjerenstvom i županijskim povjerenstvom.</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jc w:val="center"/>
        <w:rPr>
          <w:rFonts w:ascii="Times New Roman" w:eastAsia="Calibri" w:hAnsi="Times New Roman" w:cs="Times New Roman"/>
          <w:b/>
          <w:bCs/>
        </w:rPr>
      </w:pPr>
      <w:r w:rsidRPr="00E732EF">
        <w:rPr>
          <w:rFonts w:ascii="Times New Roman" w:eastAsia="Calibri" w:hAnsi="Times New Roman" w:cs="Times New Roman"/>
          <w:b/>
          <w:bCs/>
        </w:rPr>
        <w:lastRenderedPageBreak/>
        <w:t>Mjere po vrstama prirodnih nepogoda u Općini Sveti Juraj na Bregu</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2.1.1.</w:t>
      </w:r>
      <w:r w:rsidRPr="00E732EF">
        <w:rPr>
          <w:rFonts w:ascii="Times New Roman" w:eastAsia="Calibri" w:hAnsi="Times New Roman" w:cs="Times New Roman"/>
          <w:b/>
          <w:bCs/>
        </w:rPr>
        <w:t xml:space="preserve"> SUŠA</w:t>
      </w:r>
      <w:r w:rsidRPr="00E732EF">
        <w:rPr>
          <w:rFonts w:ascii="Times New Roman" w:eastAsia="Calibri" w:hAnsi="Times New Roman" w:cs="Times New Roman"/>
        </w:rPr>
        <w:t xml:space="preserve">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Meteorološka suša ili dulje razdoblje bez oborine može uzrokovati ozbiljne štete u poljodjelstvu, vodoprivredi te u drugim gospodarskim djelatnostima. Suša je često posljedica nailaska i duljeg zadržavanja anticiklone nad nekim područjem, kada uslijedi veća potražnja za vodom od opskrbe. Opskrba vodom je definirana meteorološkim uvjetima, a potražnja uključuje eko-sustave i ljudske aktivnosti. Za poljodjelstvo mogu biti opasne suše koje nastanu u vegetacijskom razdoblju dok ljetne suše na Jadranu pogoduju širenju šumskih požara. Nedostatak oborina u duljem vremenskom razdoblju može, s određenim faznim pomakom, uzrokovati i hidrološku sušu koja se očituje smanjenjem površinskih i dubinskih zaliha vode. U ovoj studiji za ocjenu ugroženosti od suše analizirani su dani bez oborine definirani kao dani u kojima nema oborine ili padne manje od 0.1 mm oborine.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Za prikaz godišnjeg hoda broja dana bez oborine na području Međimurske županije i Općine Sveti Juraj na Bregu analizirani su podaci s klimatološke postaje Čakovec (Nedelišće). U tablici su prikazani srednji mjesečni i godišnji broj dana bez oborine s pripadnim standardnim devijacijama, te maksimalni i minimalni mjesečni i godišnji broj dana bez oborine u razdoblju 1981–2000.</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Na području Općine Sveti Juraj na Bregu u prosjeku godišnje ima oko 247 dana bez oborine. Prosječno odstupanje od te srednje vrijednosti, izraženo standardnom devijacijom, je oko 16 dana. Tijekom godine najviše bezoborinskih dana u prosjeku ima siječanj (oko 24 dana), dok ih je najmanje u lipnju (oko 17 dana). Vrijednost standardne devijacije najveća je u rujnu i studenom (oko pet dana), tj. srednji mjesečni broj dana bez oborine u tim mjesecima se od godine do godine nešto više razlikuje nego u drugim mjesecima u kojima standardna devijacija iznosi tri ili četiri dana.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 analiziranom 20-godišnjem razdoblju na području Općine najveći broj dana bez oborine najčešće je bio u siječnju (30% slučajeva) te u kolovozu i listopadu (15% slučajeva). Najsušniji mjeseci u razmatranom razdoblju bili su srpanj i kolovoz 1985. godine koji su bili potpuno bez oborine. U analiziranom razdoblju najmanje dana bez oborine najčešće bilo je u lipnju (24% slučajeva) te u rujnu i studenom (18% slučajeva). Najmanje bezoborinskih dana bilo je u rujnu 1996. godine kada je bilo 9 takvih dana.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 obzirom da su u Međimurskoj županiji male prostorne varijacije nadmorske visine, opisana razdioba srednjeg broja dana bez oborine na području Općine Sveti Juraj na </w:t>
      </w:r>
      <w:proofErr w:type="spellStart"/>
      <w:r w:rsidRPr="00E732EF">
        <w:rPr>
          <w:rFonts w:ascii="Times New Roman" w:eastAsia="Calibri" w:hAnsi="Times New Roman" w:cs="Times New Roman"/>
        </w:rPr>
        <w:t>Bragu</w:t>
      </w:r>
      <w:proofErr w:type="spellEnd"/>
      <w:r w:rsidRPr="00E732EF">
        <w:rPr>
          <w:rFonts w:ascii="Times New Roman" w:eastAsia="Calibri" w:hAnsi="Times New Roman" w:cs="Times New Roman"/>
        </w:rPr>
        <w:t xml:space="preserve"> i Čakovca može se očekivati i na prostoru cijele županije. Najmanji rizik za pojavu suše obzirom na učestalost </w:t>
      </w:r>
      <w:proofErr w:type="spellStart"/>
      <w:r w:rsidRPr="00E732EF">
        <w:rPr>
          <w:rFonts w:ascii="Times New Roman" w:eastAsia="Calibri" w:hAnsi="Times New Roman" w:cs="Times New Roman"/>
        </w:rPr>
        <w:t>bezoborinskuh</w:t>
      </w:r>
      <w:proofErr w:type="spellEnd"/>
      <w:r w:rsidRPr="00E732EF">
        <w:rPr>
          <w:rFonts w:ascii="Times New Roman" w:eastAsia="Calibri" w:hAnsi="Times New Roman" w:cs="Times New Roman"/>
        </w:rPr>
        <w:t xml:space="preserve"> dana je od travnja do lipnja.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Slika 1: Karta </w:t>
      </w:r>
      <w:proofErr w:type="spellStart"/>
      <w:r w:rsidRPr="00E732EF">
        <w:rPr>
          <w:rFonts w:ascii="Times New Roman" w:eastAsia="Calibri" w:hAnsi="Times New Roman" w:cs="Times New Roman"/>
        </w:rPr>
        <w:t>izohijeta</w:t>
      </w:r>
      <w:proofErr w:type="spellEnd"/>
      <w:r w:rsidRPr="00E732EF">
        <w:rPr>
          <w:rFonts w:ascii="Times New Roman" w:eastAsia="Calibri" w:hAnsi="Times New Roman" w:cs="Times New Roman"/>
        </w:rPr>
        <w:t xml:space="preserve"> Međimurske županije i Općine Sveti Juraj na Bregu, 60-godišnji period</w:t>
      </w:r>
    </w:p>
    <w:p w:rsidR="00E732EF" w:rsidRPr="00E732EF" w:rsidRDefault="00E732EF" w:rsidP="00E732EF">
      <w:pPr>
        <w:spacing w:after="0" w:line="240" w:lineRule="auto"/>
        <w:jc w:val="both"/>
        <w:rPr>
          <w:rFonts w:ascii="Arial" w:eastAsia="Calibri" w:hAnsi="Arial" w:cs="Times New Roman"/>
          <w:noProof/>
          <w:lang w:eastAsia="hr-HR"/>
        </w:rPr>
      </w:pPr>
      <w:r>
        <w:rPr>
          <w:rFonts w:ascii="Times New Roman" w:eastAsia="Calibri" w:hAnsi="Times New Roman" w:cs="Times New Roman"/>
          <w:noProof/>
          <w:lang w:eastAsia="hr-HR"/>
        </w:rPr>
        <w:drawing>
          <wp:inline distT="0" distB="0" distL="0" distR="0">
            <wp:extent cx="5391785" cy="2536190"/>
            <wp:effectExtent l="0" t="0" r="0" b="0"/>
            <wp:docPr id="18" name="Slika 18" descr="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785" cy="2536190"/>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Izvor podataka: DHMZ i meteorološka podloga dostavljena DUZS</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lastRenderedPageBreak/>
        <w:t xml:space="preserve">Prostornu raspodjelu srednje godišnje količine oborine u Međimurskoj županiji obilježavaju količine oborine između 800 i 900 mm u njenom pretežito nizinskom dijelu na visinama 100-300 m. U još nižem području uz Muru (100-200 m) količine su od 700-800 mm. Samo zapadni, brdovitiji dio (200-400 m) županije bilježi veće količine oborine od 900-1000 mm, a zbog visine terena mogu se očekivati i količine veće od 1000 mm. </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Tablica : Godišnji hod odabranih meteoroloških parametara, Općina 1981</w:t>
      </w:r>
      <w:r w:rsidRPr="00E732EF">
        <w:rPr>
          <w:rFonts w:ascii="Times New Roman" w:eastAsia="Calibri" w:hAnsi="Times New Roman" w:cs="Times New Roman"/>
        </w:rPr>
        <w:sym w:font="Symbol" w:char="F02D"/>
      </w:r>
      <w:r w:rsidRPr="00E732EF">
        <w:rPr>
          <w:rFonts w:ascii="Times New Roman" w:eastAsia="Calibri" w:hAnsi="Times New Roman" w:cs="Times New Roman"/>
        </w:rPr>
        <w:t>2000.</w:t>
      </w:r>
    </w:p>
    <w:tbl>
      <w:tblPr>
        <w:tblW w:w="9246" w:type="dxa"/>
        <w:jc w:val="center"/>
        <w:tblInd w:w="-8"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4"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MJESECI</w:t>
            </w:r>
          </w:p>
        </w:tc>
        <w:tc>
          <w:tcPr>
            <w:tcW w:w="624" w:type="dxa"/>
            <w:tcBorders>
              <w:top w:val="double" w:sz="4"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2</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3</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4</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5</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6</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7</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8</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9</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10</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11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12</w:t>
            </w:r>
          </w:p>
        </w:tc>
        <w:tc>
          <w:tcPr>
            <w:tcW w:w="737" w:type="dxa"/>
            <w:tcBorders>
              <w:top w:val="double" w:sz="4"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sz w:val="18"/>
                <w:szCs w:val="20"/>
              </w:rPr>
            </w:pPr>
            <w:r w:rsidRPr="00E732EF">
              <w:rPr>
                <w:rFonts w:ascii="Arial" w:eastAsia="Times New Roman" w:hAnsi="Arial" w:cs="Arial"/>
                <w:b/>
                <w:sz w:val="18"/>
                <w:szCs w:val="20"/>
              </w:rPr>
              <w:t>GOD</w:t>
            </w:r>
          </w:p>
        </w:tc>
      </w:tr>
      <w:tr w:rsidR="00E732EF" w:rsidRPr="00E732EF" w:rsidTr="00E732EF">
        <w:trPr>
          <w:trHeight w:val="249"/>
          <w:jc w:val="center"/>
        </w:trPr>
        <w:tc>
          <w:tcPr>
            <w:tcW w:w="9246" w:type="dxa"/>
            <w:gridSpan w:val="14"/>
            <w:tcBorders>
              <w:top w:val="double" w:sz="6"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snapToGrid w:val="0"/>
                <w:color w:val="000000"/>
                <w:sz w:val="18"/>
                <w:szCs w:val="20"/>
              </w:rPr>
            </w:pPr>
            <w:r w:rsidRPr="00E732EF">
              <w:rPr>
                <w:rFonts w:ascii="Arial" w:eastAsia="Times New Roman" w:hAnsi="Arial" w:cs="Arial"/>
                <w:b/>
                <w:snapToGrid w:val="0"/>
                <w:color w:val="000000"/>
                <w:sz w:val="18"/>
                <w:szCs w:val="20"/>
              </w:rPr>
              <w:t>BROJ DANA BEZ OBORINE</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sz w:val="18"/>
                <w:szCs w:val="20"/>
              </w:rPr>
            </w:pPr>
            <w:r w:rsidRPr="00E732EF">
              <w:rPr>
                <w:rFonts w:ascii="Arial" w:eastAsia="Times New Roman" w:hAnsi="Arial" w:cs="Arial"/>
                <w:b/>
                <w:sz w:val="18"/>
                <w:szCs w:val="20"/>
              </w:rPr>
              <w:t>SRED</w:t>
            </w:r>
          </w:p>
        </w:tc>
        <w:tc>
          <w:tcPr>
            <w:tcW w:w="624" w:type="dxa"/>
            <w:tcBorders>
              <w:top w:val="double" w:sz="4"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24.2</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21.4</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22.1</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18.4</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18.9</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16.7</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21.3</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22.4</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19.6</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21.8</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19.6</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21.6</w:t>
            </w:r>
          </w:p>
        </w:tc>
        <w:tc>
          <w:tcPr>
            <w:tcW w:w="737" w:type="dxa"/>
            <w:tcBorders>
              <w:top w:val="double" w:sz="4"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247.3</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sz w:val="18"/>
                <w:szCs w:val="20"/>
              </w:rPr>
            </w:pPr>
            <w:r w:rsidRPr="00E732EF">
              <w:rPr>
                <w:rFonts w:ascii="Arial" w:eastAsia="Times New Roman" w:hAnsi="Arial" w:cs="Arial"/>
                <w:b/>
                <w:sz w:val="18"/>
                <w:szCs w:val="20"/>
              </w:rPr>
              <w:t>STD</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3.5</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3.6</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3.6</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4.2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4.8</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3.8</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5.1</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3.9</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16.0</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sz w:val="18"/>
                <w:szCs w:val="20"/>
              </w:rPr>
            </w:pPr>
            <w:r w:rsidRPr="00E732EF">
              <w:rPr>
                <w:rFonts w:ascii="Arial" w:eastAsia="Times New Roman" w:hAnsi="Arial" w:cs="Arial"/>
                <w:b/>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19</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15</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14</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16</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9</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14</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11</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16</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221</w:t>
            </w:r>
          </w:p>
        </w:tc>
      </w:tr>
      <w:tr w:rsidR="00E732EF" w:rsidRPr="00E732EF" w:rsidTr="00E732EF">
        <w:trPr>
          <w:trHeight w:val="249"/>
          <w:jc w:val="center"/>
        </w:trPr>
        <w:tc>
          <w:tcPr>
            <w:tcW w:w="1021" w:type="dxa"/>
            <w:tcBorders>
              <w:top w:val="single" w:sz="2" w:space="0" w:color="auto"/>
              <w:left w:val="double" w:sz="6" w:space="0" w:color="auto"/>
              <w:bottom w:val="double" w:sz="4"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sz w:val="18"/>
                <w:szCs w:val="20"/>
              </w:rPr>
            </w:pPr>
            <w:r w:rsidRPr="00E732EF">
              <w:rPr>
                <w:rFonts w:ascii="Arial" w:eastAsia="Times New Roman" w:hAnsi="Arial" w:cs="Arial"/>
                <w:b/>
                <w:sz w:val="18"/>
                <w:szCs w:val="20"/>
              </w:rPr>
              <w:t>MAKS</w:t>
            </w:r>
          </w:p>
        </w:tc>
        <w:tc>
          <w:tcPr>
            <w:tcW w:w="624" w:type="dxa"/>
            <w:tcBorders>
              <w:top w:val="single" w:sz="2" w:space="0" w:color="auto"/>
              <w:left w:val="nil"/>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28</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27</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26</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24</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23</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26</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28</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28</w:t>
            </w:r>
          </w:p>
        </w:tc>
        <w:tc>
          <w:tcPr>
            <w:tcW w:w="624" w:type="dxa"/>
            <w:tcBorders>
              <w:top w:val="single" w:sz="2" w:space="0" w:color="auto"/>
              <w:left w:val="single" w:sz="6" w:space="0" w:color="auto"/>
              <w:bottom w:val="double" w:sz="4" w:space="0" w:color="auto"/>
              <w:right w:val="nil"/>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31</w:t>
            </w:r>
          </w:p>
        </w:tc>
        <w:tc>
          <w:tcPr>
            <w:tcW w:w="737" w:type="dxa"/>
            <w:tcBorders>
              <w:top w:val="single" w:sz="2" w:space="0" w:color="auto"/>
              <w:left w:val="double" w:sz="4" w:space="0" w:color="auto"/>
              <w:bottom w:val="double" w:sz="4"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sz w:val="18"/>
                <w:szCs w:val="20"/>
              </w:rPr>
            </w:pPr>
            <w:r w:rsidRPr="00E732EF">
              <w:rPr>
                <w:rFonts w:ascii="Arial" w:eastAsia="Times New Roman" w:hAnsi="Arial" w:cs="Arial"/>
                <w:sz w:val="18"/>
                <w:szCs w:val="20"/>
              </w:rPr>
              <w:t>284</w:t>
            </w:r>
          </w:p>
        </w:tc>
      </w:tr>
    </w:tbl>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 Izvor podataka: DHMZ i meteorološka podloga dostavljena DUZS</w:t>
      </w:r>
    </w:p>
    <w:p w:rsidR="00E732EF" w:rsidRPr="00E732EF" w:rsidRDefault="00E732EF" w:rsidP="00E732EF">
      <w:pPr>
        <w:spacing w:after="0" w:line="240" w:lineRule="auto"/>
        <w:jc w:val="both"/>
        <w:rPr>
          <w:rFonts w:ascii="Times New Roman" w:eastAsia="Calibri" w:hAnsi="Times New Roman" w:cs="Times New Roman"/>
          <w:b/>
          <w:bCs/>
          <w:i/>
          <w:iCs/>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i/>
          <w:iCs/>
        </w:rPr>
        <w:t>Suša</w:t>
      </w:r>
      <w:r w:rsidRPr="00E732EF">
        <w:rPr>
          <w:rFonts w:ascii="Times New Roman" w:eastAsia="Calibri" w:hAnsi="Times New Roman" w:cs="Times New Roman"/>
        </w:rPr>
        <w:t xml:space="preserve"> je prirodna pojava, elementarna nepogoda koja je primarno vezana uz deficit oborine kroz dulje vremensko razdoblje u odnosu na prosječne </w:t>
      </w:r>
      <w:proofErr w:type="spellStart"/>
      <w:r w:rsidRPr="00E732EF">
        <w:rPr>
          <w:rFonts w:ascii="Times New Roman" w:eastAsia="Calibri" w:hAnsi="Times New Roman" w:cs="Times New Roman"/>
        </w:rPr>
        <w:t>oborinske</w:t>
      </w:r>
      <w:proofErr w:type="spellEnd"/>
      <w:r w:rsidRPr="00E732EF">
        <w:rPr>
          <w:rFonts w:ascii="Times New Roman" w:eastAsia="Calibri" w:hAnsi="Times New Roman" w:cs="Times New Roman"/>
        </w:rPr>
        <w:t xml:space="preserve"> prilike na određenom području. Sušu definira i povećana temperatura zraka u odnosu na prosječne temperaturne prilike na određenom području. Ona predstavlja kompleksan proces koji uključuje različite faktore za određivanje rizika i osjetljivosti na sušu. U usporedbi s drugim prirodnim nepogodama, na primjer poplavama, suša se relativno sporo razvija, dugo traje, i teško je odrediti njezin vremenski početak i kraj. Stoga i ne postoji univerzalna definicija suše. Posljedice suše ogledaju se gotovo u svim aspektima života kod ljudi, biljaka i životinja. Manjak oborine se može pojaviti tijekom tjedana, mjeseci ili godina što može imati za posljedicu smanjenje površinskih i podzemnih zaliha vode, odnosno smanjenje protoka vode u vodotocima te razine vode u jezerima i u podzemlju, uzrokujući hidrološku sušu.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Pored </w:t>
      </w:r>
      <w:r w:rsidRPr="00E732EF">
        <w:rPr>
          <w:rFonts w:ascii="Times New Roman" w:eastAsia="Calibri" w:hAnsi="Times New Roman" w:cs="Times New Roman"/>
          <w:i/>
          <w:iCs/>
          <w:u w:val="single"/>
        </w:rPr>
        <w:t>hidrološke suše</w:t>
      </w:r>
      <w:r w:rsidRPr="00E732EF">
        <w:rPr>
          <w:rFonts w:ascii="Times New Roman" w:eastAsia="Calibri" w:hAnsi="Times New Roman" w:cs="Times New Roman"/>
        </w:rPr>
        <w:t xml:space="preserve"> i kratkoročni manjak oborine u vegetacijskom razdoblju može uzrokovati nedostatak vode u tlu (</w:t>
      </w:r>
      <w:proofErr w:type="spellStart"/>
      <w:r w:rsidRPr="00E732EF">
        <w:rPr>
          <w:rFonts w:ascii="Times New Roman" w:eastAsia="Calibri" w:hAnsi="Times New Roman" w:cs="Times New Roman"/>
        </w:rPr>
        <w:t>zasušenje</w:t>
      </w:r>
      <w:proofErr w:type="spellEnd"/>
      <w:r w:rsidRPr="00E732EF">
        <w:rPr>
          <w:rFonts w:ascii="Times New Roman" w:eastAsia="Calibri" w:hAnsi="Times New Roman" w:cs="Times New Roman"/>
        </w:rPr>
        <w:t xml:space="preserve">) koja je potrebna za razvoj biljnih kultura te biljke zaostaju u rastu i razvoju što se u konačnici odražava smanjenjem prinosa i nestabilnošću biljne proizvodnje. Osim nedostatka oborine, kad dođe do povećanja temperature zraka (zatopljenje) kod biljke se javlja povećana potreba biljke za vodom.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Pojava suše (</w:t>
      </w:r>
      <w:proofErr w:type="spellStart"/>
      <w:r w:rsidRPr="00E732EF">
        <w:rPr>
          <w:rFonts w:ascii="Times New Roman" w:eastAsia="Calibri" w:hAnsi="Times New Roman" w:cs="Times New Roman"/>
        </w:rPr>
        <w:t>zasušenje</w:t>
      </w:r>
      <w:proofErr w:type="spellEnd"/>
      <w:r w:rsidRPr="00E732EF">
        <w:rPr>
          <w:rFonts w:ascii="Times New Roman" w:eastAsia="Calibri" w:hAnsi="Times New Roman" w:cs="Times New Roman"/>
        </w:rPr>
        <w:t xml:space="preserve"> i zatopljenje) u biljnoj proizvodnji naziva se agronomska suša. Agronomska suša se može pojaviti u sva četiri godišnja doba i imati posljedice na opskrbu biljke vodom. Kada je zima bez oborine (kiša, snijeg ili pojava suhog snijega), ne stvara se zaliha vode u tlu. U vrijeme suhog proljeća i uz pojavu vjetrova isušuje se površinski sloj tla, te jare kulture ne mogu pravodobno i kvalitetno nicati. Tijekom jeseni, nedovoljno oborina usporava razvoj ozimih kultura. </w:t>
      </w:r>
    </w:p>
    <w:p w:rsidR="00E732EF" w:rsidRPr="00E732EF" w:rsidRDefault="00E732EF" w:rsidP="00E732EF">
      <w:pPr>
        <w:spacing w:after="0" w:line="240" w:lineRule="auto"/>
        <w:jc w:val="both"/>
        <w:rPr>
          <w:rFonts w:ascii="Times New Roman" w:eastAsia="Calibri" w:hAnsi="Times New Roman" w:cs="Times New Roman"/>
          <w:i/>
          <w:iCs/>
          <w:u w:val="single"/>
          <w:lang w:eastAsia="hr-HR"/>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i/>
          <w:iCs/>
          <w:u w:val="single"/>
          <w:lang w:eastAsia="hr-HR"/>
        </w:rPr>
        <w:t>U</w:t>
      </w:r>
      <w:r w:rsidRPr="00E732EF">
        <w:rPr>
          <w:rFonts w:ascii="Times New Roman" w:eastAsia="TimesNewRoman" w:hAnsi="Times New Roman" w:cs="Times New Roman"/>
          <w:i/>
          <w:iCs/>
          <w:u w:val="single"/>
          <w:lang w:eastAsia="hr-HR"/>
        </w:rPr>
        <w:t>č</w:t>
      </w:r>
      <w:r w:rsidRPr="00E732EF">
        <w:rPr>
          <w:rFonts w:ascii="Times New Roman" w:eastAsia="Calibri" w:hAnsi="Times New Roman" w:cs="Times New Roman"/>
          <w:i/>
          <w:iCs/>
          <w:u w:val="single"/>
          <w:lang w:eastAsia="hr-HR"/>
        </w:rPr>
        <w:t>inci suše</w:t>
      </w:r>
      <w:r w:rsidRPr="00E732EF">
        <w:rPr>
          <w:rFonts w:ascii="Times New Roman" w:eastAsia="Calibri" w:hAnsi="Times New Roman" w:cs="Times New Roman"/>
          <w:lang w:eastAsia="hr-HR"/>
        </w:rPr>
        <w:t xml:space="preserve"> najve</w:t>
      </w:r>
      <w:r w:rsidRPr="00E732EF">
        <w:rPr>
          <w:rFonts w:ascii="Times New Roman" w:eastAsia="TimesNewRoman" w:hAnsi="Times New Roman" w:cs="Times New Roman"/>
          <w:lang w:eastAsia="hr-HR"/>
        </w:rPr>
        <w:t>ć</w:t>
      </w:r>
      <w:r w:rsidRPr="00E732EF">
        <w:rPr>
          <w:rFonts w:ascii="Times New Roman" w:eastAsia="Calibri" w:hAnsi="Times New Roman" w:cs="Times New Roman"/>
          <w:lang w:eastAsia="hr-HR"/>
        </w:rPr>
        <w:t>e posljedice imaju na ratarske kulture, šume i trajne nasade. Posljedice suše mogu se o</w:t>
      </w:r>
      <w:r w:rsidRPr="00E732EF">
        <w:rPr>
          <w:rFonts w:ascii="Times New Roman" w:eastAsia="TimesNewRoman" w:hAnsi="Times New Roman" w:cs="Times New Roman"/>
          <w:lang w:eastAsia="hr-HR"/>
        </w:rPr>
        <w:t>č</w:t>
      </w:r>
      <w:r w:rsidRPr="00E732EF">
        <w:rPr>
          <w:rFonts w:ascii="Times New Roman" w:eastAsia="Calibri" w:hAnsi="Times New Roman" w:cs="Times New Roman"/>
          <w:lang w:eastAsia="hr-HR"/>
        </w:rPr>
        <w:t>itovati i u nedostatku vode potrebne za napajanje životinja kao i nedostatkom pitke vode za stanovnike podru</w:t>
      </w:r>
      <w:r w:rsidRPr="00E732EF">
        <w:rPr>
          <w:rFonts w:ascii="Times New Roman" w:eastAsia="TimesNewRoman" w:hAnsi="Times New Roman" w:cs="Times New Roman"/>
          <w:lang w:eastAsia="hr-HR"/>
        </w:rPr>
        <w:t>č</w:t>
      </w:r>
      <w:r w:rsidRPr="00E732EF">
        <w:rPr>
          <w:rFonts w:ascii="Times New Roman" w:eastAsia="Calibri" w:hAnsi="Times New Roman" w:cs="Times New Roman"/>
          <w:lang w:eastAsia="hr-HR"/>
        </w:rPr>
        <w:t>ja koja se vodom ne opskrbljuju putem vodovodne mreže. Navodnjavanje se malo primjenjuje, uglavnom na oku</w:t>
      </w:r>
      <w:r w:rsidRPr="00E732EF">
        <w:rPr>
          <w:rFonts w:ascii="Times New Roman" w:eastAsia="TimesNewRoman" w:hAnsi="Times New Roman" w:cs="Times New Roman"/>
          <w:lang w:eastAsia="hr-HR"/>
        </w:rPr>
        <w:t>ć</w:t>
      </w:r>
      <w:r w:rsidRPr="00E732EF">
        <w:rPr>
          <w:rFonts w:ascii="Times New Roman" w:eastAsia="Calibri" w:hAnsi="Times New Roman" w:cs="Times New Roman"/>
          <w:lang w:eastAsia="hr-HR"/>
        </w:rPr>
        <w:t>nicama, iako za to postoje povoljni uvjeti. U</w:t>
      </w:r>
      <w:r w:rsidRPr="00E732EF">
        <w:rPr>
          <w:rFonts w:ascii="Times New Roman" w:eastAsia="TimesNewRoman" w:hAnsi="Times New Roman" w:cs="Times New Roman"/>
          <w:lang w:eastAsia="hr-HR"/>
        </w:rPr>
        <w:t>č</w:t>
      </w:r>
      <w:r w:rsidRPr="00E732EF">
        <w:rPr>
          <w:rFonts w:ascii="Times New Roman" w:eastAsia="Calibri" w:hAnsi="Times New Roman" w:cs="Times New Roman"/>
          <w:lang w:eastAsia="hr-HR"/>
        </w:rPr>
        <w:t>inci suše mogu imati i obilježja velikih nesreća za podru</w:t>
      </w:r>
      <w:r w:rsidRPr="00E732EF">
        <w:rPr>
          <w:rFonts w:ascii="Times New Roman" w:eastAsia="TimesNewRoman" w:hAnsi="Times New Roman" w:cs="Times New Roman"/>
          <w:lang w:eastAsia="hr-HR"/>
        </w:rPr>
        <w:t>č</w:t>
      </w:r>
      <w:r w:rsidRPr="00E732EF">
        <w:rPr>
          <w:rFonts w:ascii="Times New Roman" w:eastAsia="Calibri" w:hAnsi="Times New Roman" w:cs="Times New Roman"/>
          <w:lang w:eastAsia="hr-HR"/>
        </w:rPr>
        <w:t>je Općine Sveti Juraj na Bregu, prvenstveno iz razloga značajnih poljoprivrednih površina, a štete mogu biti i na</w:t>
      </w:r>
      <w:r w:rsidRPr="00E732EF">
        <w:rPr>
          <w:rFonts w:ascii="Times New Roman" w:eastAsia="Calibri" w:hAnsi="Times New Roman" w:cs="Times New Roman"/>
        </w:rPr>
        <w:t xml:space="preserve"> šumskom fondu kao i povećanom riziku od požara.</w:t>
      </w:r>
    </w:p>
    <w:p w:rsidR="00E732EF" w:rsidRPr="00E732EF" w:rsidRDefault="00E732EF" w:rsidP="00E732EF">
      <w:pPr>
        <w:spacing w:after="0" w:line="240" w:lineRule="auto"/>
        <w:jc w:val="both"/>
        <w:rPr>
          <w:rFonts w:ascii="Times New Roman" w:eastAsia="Calibri" w:hAnsi="Times New Roman" w:cs="Times New Roman"/>
          <w:lang w:eastAsia="hr-HR"/>
        </w:rPr>
      </w:pPr>
    </w:p>
    <w:p w:rsidR="00E732EF" w:rsidRPr="00E732EF" w:rsidRDefault="00E732EF" w:rsidP="00E732EF">
      <w:pPr>
        <w:jc w:val="both"/>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U preventivnim mjerama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 </w:t>
      </w:r>
    </w:p>
    <w:p w:rsidR="00E732EF" w:rsidRPr="00E732EF" w:rsidRDefault="00E732EF" w:rsidP="00E732EF">
      <w:pPr>
        <w:jc w:val="both"/>
        <w:rPr>
          <w:rFonts w:ascii="Times New Roman" w:eastAsia="Calibri" w:hAnsi="Times New Roman" w:cs="Times New Roman"/>
          <w:i/>
          <w:iCs/>
        </w:rPr>
      </w:pPr>
      <w:r w:rsidRPr="00E732EF">
        <w:rPr>
          <w:rFonts w:ascii="Times New Roman" w:eastAsia="Calibri" w:hAnsi="Times New Roman" w:cs="Times New Roman"/>
          <w:i/>
          <w:iCs/>
        </w:rPr>
        <w:t xml:space="preserve">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w:t>
      </w:r>
      <w:r w:rsidRPr="00E732EF">
        <w:rPr>
          <w:rFonts w:ascii="Times New Roman" w:eastAsia="Calibri" w:hAnsi="Times New Roman" w:cs="Times New Roman"/>
        </w:rPr>
        <w:lastRenderedPageBreak/>
        <w:t xml:space="preserve">posljedice prirodne nepogode, pružanje prve pomoći unesrećenima ukoliko ih je bilo te sve ostale radnje kojima se smanjuju posljedice suše. </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97"/>
        <w:gridCol w:w="8010"/>
      </w:tblGrid>
      <w:tr w:rsidR="00E732EF" w:rsidRPr="00E732EF" w:rsidTr="00E732EF">
        <w:trPr>
          <w:trHeight w:val="25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Općine Sveti Juraj na Bregu nastavlja aktivnosti na popisu i procjeni štete sukladno Zakona o ublažavanju i uklanjanju posljedica prirodnih nepogoda (NN 16/19)  i Pravilniku o registru šteta od prirodnih nepogoda (NN 65/19)</w:t>
            </w:r>
          </w:p>
        </w:tc>
      </w:tr>
      <w:tr w:rsidR="00E732EF" w:rsidRPr="00E732EF" w:rsidTr="00E732EF">
        <w:trPr>
          <w:trHeight w:val="31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po procjeni općinskog načelnika</w:t>
            </w:r>
          </w:p>
        </w:tc>
      </w:tr>
      <w:tr w:rsidR="00E732EF" w:rsidRPr="00E732EF" w:rsidTr="00E732EF">
        <w:trPr>
          <w:trHeight w:val="37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naseljima u kojima se dogodila nestašica vode i izrada prioriteta dostave vode ljudima, životinjama, zalijevanje usjeva važnih za funkcioniranje zajednice</w:t>
            </w:r>
          </w:p>
        </w:tc>
      </w:tr>
      <w:tr w:rsidR="00E732EF" w:rsidRPr="00E732EF" w:rsidTr="00E732EF">
        <w:trPr>
          <w:trHeight w:val="28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Pronalaženje najbližeg </w:t>
            </w:r>
            <w:proofErr w:type="spellStart"/>
            <w:r w:rsidRPr="00E732EF">
              <w:rPr>
                <w:rFonts w:ascii="Times New Roman" w:eastAsia="Calibri" w:hAnsi="Times New Roman" w:cs="Times New Roman"/>
              </w:rPr>
              <w:t>vodozahvata</w:t>
            </w:r>
            <w:proofErr w:type="spellEnd"/>
            <w:r w:rsidRPr="00E732EF">
              <w:rPr>
                <w:rFonts w:ascii="Times New Roman" w:eastAsia="Calibri" w:hAnsi="Times New Roman" w:cs="Times New Roman"/>
              </w:rPr>
              <w:t xml:space="preserve"> sa kojega postoji mogućnost dostave vode.</w:t>
            </w:r>
          </w:p>
        </w:tc>
      </w:tr>
      <w:tr w:rsidR="00E732EF" w:rsidRPr="00E732EF" w:rsidTr="00E732EF">
        <w:trPr>
          <w:trHeight w:val="36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Angažiranje  Vatrogasne zajednice  Općine sa 5 DVD-ova, Komunalnih snaga, Međimurskih voda d.o.o., Povjerenika CZ  i drugih, na dostavi vode na ugrožena područja </w:t>
            </w:r>
          </w:p>
        </w:tc>
      </w:tr>
      <w:tr w:rsidR="00E732EF" w:rsidRPr="00E732EF" w:rsidTr="00E732EF">
        <w:trPr>
          <w:trHeight w:val="255"/>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Informiranje stanovništva o načinu snabdijevanja.</w:t>
            </w:r>
          </w:p>
        </w:tc>
      </w:tr>
      <w:tr w:rsidR="00E732EF" w:rsidRPr="00E732EF" w:rsidTr="00E732EF">
        <w:trPr>
          <w:trHeight w:val="18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Izrada popisa (vlasnik i broj grla) životinjskog fonda koristeći evidenciju Veterinarske stanice Čakovec</w:t>
            </w:r>
          </w:p>
        </w:tc>
      </w:tr>
      <w:tr w:rsidR="00E732EF" w:rsidRPr="00E732EF" w:rsidTr="00E732EF">
        <w:trPr>
          <w:trHeight w:val="30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minimalne dnevne količine vode po grlu.</w:t>
            </w:r>
          </w:p>
        </w:tc>
      </w:tr>
      <w:tr w:rsidR="00E732EF" w:rsidRPr="00E732EF" w:rsidTr="00E732EF">
        <w:trPr>
          <w:trHeight w:val="176"/>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Dovoz vode vlasnicima većeg broja grla.</w:t>
            </w:r>
          </w:p>
        </w:tc>
      </w:tr>
      <w:tr w:rsidR="00E732EF" w:rsidRPr="00E732EF" w:rsidTr="00E732EF">
        <w:trPr>
          <w:trHeight w:val="206"/>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highlight w:val="yellow"/>
              </w:rPr>
            </w:pPr>
            <w:r w:rsidRPr="00E732EF">
              <w:rPr>
                <w:rFonts w:ascii="Times New Roman" w:eastAsia="Calibri" w:hAnsi="Times New Roman" w:cs="Times New Roman"/>
              </w:rPr>
              <w:t>Upućivanje zahtjeva Međimurskoj županiji za angažmanom dodatnih cisterni koje omogućavaju isporuku higijenski ispravne vode.</w:t>
            </w:r>
          </w:p>
        </w:tc>
      </w:tr>
      <w:tr w:rsidR="00E732EF" w:rsidRPr="00E732EF" w:rsidTr="00E732EF">
        <w:trPr>
          <w:trHeight w:val="270"/>
        </w:trPr>
        <w:tc>
          <w:tcPr>
            <w:tcW w:w="897"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Izrada popisa gospodarstava kojima je nužno navodnjavanje usjeva te određivanje prioriteta (OPG, vlasnici farmi, veći proizvođači i sl.)</w:t>
            </w:r>
          </w:p>
        </w:tc>
      </w:tr>
    </w:tbl>
    <w:p w:rsidR="00E732EF" w:rsidRPr="00E732EF" w:rsidRDefault="00E732EF" w:rsidP="00E732EF">
      <w:pPr>
        <w:spacing w:after="0"/>
        <w:rPr>
          <w:rFonts w:ascii="Times New Roman" w:eastAsia="Calibri" w:hAnsi="Times New Roman" w:cs="Times New Roman"/>
        </w:rPr>
      </w:pPr>
    </w:p>
    <w:p w:rsidR="00E732EF" w:rsidRPr="00E732EF" w:rsidRDefault="00E732EF" w:rsidP="00E732EF">
      <w:pPr>
        <w:spacing w:after="0"/>
        <w:rPr>
          <w:rFonts w:ascii="Times New Roman" w:eastAsia="Calibri" w:hAnsi="Times New Roman" w:cs="Times New Roman"/>
        </w:rPr>
      </w:pPr>
    </w:p>
    <w:p w:rsidR="00E732EF" w:rsidRPr="00E732EF" w:rsidRDefault="00E732EF" w:rsidP="00E732EF">
      <w:pPr>
        <w:spacing w:after="0"/>
        <w:rPr>
          <w:rFonts w:ascii="Times New Roman" w:eastAsia="Calibri" w:hAnsi="Times New Roman" w:cs="Times New Roman"/>
          <w:b/>
          <w:bCs/>
        </w:rPr>
      </w:pPr>
      <w:r w:rsidRPr="00E732EF">
        <w:rPr>
          <w:rFonts w:ascii="Times New Roman" w:eastAsia="Calibri" w:hAnsi="Times New Roman" w:cs="Times New Roman"/>
        </w:rPr>
        <w:t xml:space="preserve">2.1.2. </w:t>
      </w:r>
      <w:r w:rsidRPr="00E732EF">
        <w:rPr>
          <w:rFonts w:ascii="Times New Roman" w:eastAsia="Calibri" w:hAnsi="Times New Roman" w:cs="Times New Roman"/>
          <w:b/>
          <w:bCs/>
        </w:rPr>
        <w:t>OLUJNO I ORKANSKO NEVRIJEME</w:t>
      </w:r>
    </w:p>
    <w:p w:rsidR="00E732EF" w:rsidRPr="00E732EF" w:rsidRDefault="00E732EF" w:rsidP="00E732EF">
      <w:pPr>
        <w:spacing w:after="0" w:line="240" w:lineRule="auto"/>
        <w:jc w:val="center"/>
        <w:rPr>
          <w:rFonts w:ascii="Calibri" w:eastAsia="Calibri" w:hAnsi="Calibri" w:cs="Times New Roman"/>
          <w:b/>
          <w:bCs/>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Olujni vjetar, a ponekad i orkanski, udružen s velikom količinom oborine ili čak i tučom, osim što stvara velike štete na imovini, poljoprivrednim i šumarskim dobrima, raznim građevinskim objektima, u prometu te tako nanosi gubitke u gospodarstvu, ugrožava i često puta odnosi ljudske živote. Stoga je ovom poglavlju detaljnije analiziran vjetar kao jedan od čimbenika olujnog nevremena.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Mjereni podaci vjetra pomoću električnog ili digitalnog anemografa (brzina i smjer vjetra te maksimalni udari vjetra) u meteorološkoj službi prikupljaju se u relativno rijetkoj mreži točaka. Postojeća mreža mjernih točaka odabrana je tako da omogućuje dobivanje općih karakteristika strujanja većih razmjera na visini od </w:t>
      </w:r>
      <w:smartTag w:uri="urn:schemas-microsoft-com:office:smarttags" w:element="metricconverter">
        <w:smartTagPr>
          <w:attr w:name="ProductID" w:val="10 m"/>
        </w:smartTagPr>
        <w:r w:rsidRPr="00E732EF">
          <w:rPr>
            <w:rFonts w:ascii="Times New Roman" w:eastAsia="Calibri" w:hAnsi="Times New Roman" w:cs="Times New Roman"/>
            <w:noProof/>
          </w:rPr>
          <w:t>10 m</w:t>
        </w:r>
      </w:smartTag>
      <w:r w:rsidRPr="00E732EF">
        <w:rPr>
          <w:rFonts w:ascii="Times New Roman" w:eastAsia="Calibri" w:hAnsi="Times New Roman" w:cs="Times New Roman"/>
          <w:noProof/>
        </w:rPr>
        <w:t xml:space="preserve"> iznad tla. Međutim, reprezentativnost vrijednosti u nekoj točki za šire područje ovisi o konfiguraciji terena, hrapavosti terena i blizini zaklona oko anemografa.</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Za nadopunu vjetrovnog režima na meteorološkim postajama motritelji i opažaju smjer i jačinu vjetra. Jačina vjetra procjenjuje se vizualno prema učincima vjetra na predmetima u prirodi u tri klimatološka termina (7, 14 i 21 sat) i izražava se u stupnjevima Beaufortove ljestvice. Ona sadrži od 0 do 12 Bf (bofora) kojima su pridružene odgovarajuće srednje brzine vjetra.</w:t>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Smjer vjetra određuje se također vizualno pomoću vjetrulje koja ima označena samo četiri smjera. Motritelj je dužan ocijeniti smjer vjetra na jedan od 16 mogućih smjerova i označiti ga stranom svijeta odakle vjetar puše. Za općinu Sveti Juraj na Bregu odabrana je referentna meteorološka postaja Čakovec,  a za  promatrano razdoblje 1981.–2000. analizirani su opaženi podaci jačine i smjera vjetra. Postaja Čakovec je anemografska postaja smještena na ravnom terenu na kojoj se mjeri brzina i smjer vjetra te su analizirani raspoloživi podaci iz razdoblja 1995–2005.</w:t>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88" w:lineRule="auto"/>
        <w:ind w:left="2112" w:firstLine="720"/>
        <w:jc w:val="both"/>
        <w:rPr>
          <w:rFonts w:ascii="Times New Roman" w:eastAsia="Times New Roman" w:hAnsi="Times New Roman" w:cs="Times New Roman"/>
          <w:noProof/>
          <w:szCs w:val="20"/>
        </w:rPr>
      </w:pPr>
      <w:r w:rsidRPr="00E732EF">
        <w:rPr>
          <w:rFonts w:ascii="Times New Roman" w:eastAsia="Times New Roman" w:hAnsi="Times New Roman" w:cs="Times New Roman"/>
          <w:b/>
          <w:noProof/>
          <w:szCs w:val="20"/>
        </w:rPr>
        <w:lastRenderedPageBreak/>
        <w:t>BEAUFORTOVA LJESTVICA</w:t>
      </w:r>
    </w:p>
    <w:tbl>
      <w:tblPr>
        <w:tblW w:w="0" w:type="auto"/>
        <w:jc w:val="center"/>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9"/>
        <w:gridCol w:w="2214"/>
        <w:gridCol w:w="1687"/>
      </w:tblGrid>
      <w:tr w:rsidR="00E732EF" w:rsidRPr="00E732EF" w:rsidTr="00E732EF">
        <w:trPr>
          <w:jc w:val="center"/>
        </w:trPr>
        <w:tc>
          <w:tcPr>
            <w:tcW w:w="1359" w:type="dxa"/>
            <w:tcBorders>
              <w:top w:val="double" w:sz="2" w:space="0" w:color="auto"/>
              <w:left w:val="double" w:sz="2" w:space="0" w:color="auto"/>
              <w:bottom w:val="double" w:sz="2" w:space="0" w:color="auto"/>
              <w:right w:val="double" w:sz="2" w:space="0" w:color="auto"/>
            </w:tcBorders>
            <w:shd w:val="clear" w:color="auto" w:fill="DBE5F1"/>
            <w:vAlign w:val="center"/>
          </w:tcPr>
          <w:p w:rsidR="00E732EF" w:rsidRPr="00E732EF" w:rsidRDefault="00E732EF" w:rsidP="00E732EF">
            <w:pPr>
              <w:spacing w:after="0" w:line="240" w:lineRule="auto"/>
              <w:jc w:val="center"/>
              <w:rPr>
                <w:rFonts w:ascii="Times New Roman" w:eastAsia="Calibri" w:hAnsi="Times New Roman" w:cs="Arial"/>
                <w:b/>
                <w:bCs/>
                <w:noProof/>
                <w:sz w:val="20"/>
                <w:szCs w:val="20"/>
              </w:rPr>
            </w:pPr>
            <w:r w:rsidRPr="00E732EF">
              <w:rPr>
                <w:rFonts w:ascii="Times New Roman" w:eastAsia="Calibri" w:hAnsi="Times New Roman" w:cs="Arial"/>
                <w:b/>
                <w:bCs/>
                <w:noProof/>
                <w:sz w:val="20"/>
                <w:szCs w:val="20"/>
              </w:rPr>
              <w:t>Beauforti (Bf)</w:t>
            </w:r>
          </w:p>
        </w:tc>
        <w:tc>
          <w:tcPr>
            <w:tcW w:w="2214" w:type="dxa"/>
            <w:tcBorders>
              <w:top w:val="double" w:sz="2" w:space="0" w:color="auto"/>
              <w:left w:val="double" w:sz="2" w:space="0" w:color="auto"/>
              <w:bottom w:val="double" w:sz="2" w:space="0" w:color="auto"/>
              <w:right w:val="double" w:sz="2" w:space="0" w:color="auto"/>
            </w:tcBorders>
            <w:shd w:val="clear" w:color="auto" w:fill="DBE5F1"/>
            <w:vAlign w:val="center"/>
          </w:tcPr>
          <w:p w:rsidR="00E732EF" w:rsidRPr="00E732EF" w:rsidRDefault="00E732EF" w:rsidP="00E732EF">
            <w:pPr>
              <w:spacing w:after="0" w:line="240" w:lineRule="auto"/>
              <w:jc w:val="center"/>
              <w:rPr>
                <w:rFonts w:ascii="Times New Roman" w:eastAsia="Calibri" w:hAnsi="Times New Roman" w:cs="Arial"/>
                <w:b/>
                <w:bCs/>
                <w:noProof/>
                <w:sz w:val="20"/>
                <w:szCs w:val="20"/>
              </w:rPr>
            </w:pPr>
            <w:r w:rsidRPr="00E732EF">
              <w:rPr>
                <w:rFonts w:ascii="Times New Roman" w:eastAsia="Calibri" w:hAnsi="Times New Roman" w:cs="Arial"/>
                <w:b/>
                <w:bCs/>
                <w:noProof/>
                <w:sz w:val="20"/>
                <w:szCs w:val="20"/>
              </w:rPr>
              <w:t>Naziv</w:t>
            </w:r>
          </w:p>
        </w:tc>
        <w:tc>
          <w:tcPr>
            <w:tcW w:w="1687" w:type="dxa"/>
            <w:tcBorders>
              <w:top w:val="double" w:sz="2" w:space="0" w:color="auto"/>
              <w:left w:val="double" w:sz="2" w:space="0" w:color="auto"/>
              <w:bottom w:val="double" w:sz="2" w:space="0" w:color="auto"/>
              <w:right w:val="double" w:sz="2" w:space="0" w:color="auto"/>
            </w:tcBorders>
            <w:shd w:val="clear" w:color="auto" w:fill="DBE5F1"/>
            <w:vAlign w:val="center"/>
          </w:tcPr>
          <w:p w:rsidR="00E732EF" w:rsidRPr="00E732EF" w:rsidRDefault="00E732EF" w:rsidP="00E732EF">
            <w:pPr>
              <w:spacing w:after="0" w:line="240" w:lineRule="auto"/>
              <w:jc w:val="center"/>
              <w:rPr>
                <w:rFonts w:ascii="Times New Roman" w:eastAsia="Calibri" w:hAnsi="Times New Roman" w:cs="Arial"/>
                <w:b/>
                <w:bCs/>
                <w:noProof/>
                <w:sz w:val="20"/>
                <w:szCs w:val="20"/>
              </w:rPr>
            </w:pPr>
            <w:r w:rsidRPr="00E732EF">
              <w:rPr>
                <w:rFonts w:ascii="Times New Roman" w:eastAsia="Calibri" w:hAnsi="Times New Roman" w:cs="Arial"/>
                <w:b/>
                <w:bCs/>
                <w:noProof/>
                <w:sz w:val="20"/>
                <w:szCs w:val="20"/>
              </w:rPr>
              <w:t>Razred brzine</w:t>
            </w:r>
          </w:p>
          <w:p w:rsidR="00E732EF" w:rsidRPr="00E732EF" w:rsidRDefault="00E732EF" w:rsidP="00E732EF">
            <w:pPr>
              <w:spacing w:after="0" w:line="240" w:lineRule="auto"/>
              <w:jc w:val="center"/>
              <w:rPr>
                <w:rFonts w:ascii="Times New Roman" w:eastAsia="Calibri" w:hAnsi="Times New Roman" w:cs="Arial"/>
                <w:b/>
                <w:bCs/>
                <w:noProof/>
                <w:sz w:val="20"/>
                <w:szCs w:val="20"/>
              </w:rPr>
            </w:pPr>
            <w:r w:rsidRPr="00E732EF">
              <w:rPr>
                <w:rFonts w:ascii="Times New Roman" w:eastAsia="Calibri" w:hAnsi="Times New Roman" w:cs="Arial"/>
                <w:b/>
                <w:bCs/>
                <w:noProof/>
                <w:sz w:val="20"/>
                <w:szCs w:val="20"/>
              </w:rPr>
              <w:t>(m/s)</w:t>
            </w:r>
          </w:p>
        </w:tc>
      </w:tr>
      <w:tr w:rsidR="00E732EF" w:rsidRPr="00E732EF" w:rsidTr="00E732EF">
        <w:trPr>
          <w:jc w:val="center"/>
        </w:trPr>
        <w:tc>
          <w:tcPr>
            <w:tcW w:w="1359" w:type="dxa"/>
            <w:tcBorders>
              <w:top w:val="double" w:sz="2"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0</w:t>
            </w:r>
          </w:p>
        </w:tc>
        <w:tc>
          <w:tcPr>
            <w:tcW w:w="2214" w:type="dxa"/>
            <w:tcBorders>
              <w:top w:val="double" w:sz="2"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tišina</w:t>
            </w:r>
          </w:p>
        </w:tc>
        <w:tc>
          <w:tcPr>
            <w:tcW w:w="1687" w:type="dxa"/>
            <w:tcBorders>
              <w:top w:val="double" w:sz="2"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0.0-0.2</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lagan povjetarac</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0.3-1.5</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2</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povjetarac</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1.6-3.3</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3</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slab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3.4-5.4</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4</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umjeren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5.5-7.9</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5</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umjereno jak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8.0-10.7</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6</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jak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10.8-13.8</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7</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vrlo jak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13.9-17.1</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8</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olujan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17.2-20.7</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9</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oluja</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20.8-24.4</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10</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jaka oluja</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24.5-28.4</w:t>
            </w:r>
          </w:p>
        </w:tc>
      </w:tr>
      <w:tr w:rsidR="00E732EF" w:rsidRPr="00E732EF" w:rsidTr="00E732EF">
        <w:trPr>
          <w:jc w:val="center"/>
        </w:trPr>
        <w:tc>
          <w:tcPr>
            <w:tcW w:w="1359" w:type="dxa"/>
            <w:tcBorders>
              <w:top w:val="single" w:sz="6" w:space="0" w:color="auto"/>
              <w:left w:val="double" w:sz="2" w:space="0" w:color="auto"/>
              <w:bottom w:val="single" w:sz="6"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11</w:t>
            </w:r>
          </w:p>
        </w:tc>
        <w:tc>
          <w:tcPr>
            <w:tcW w:w="2214"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orkanski vjetar</w:t>
            </w:r>
          </w:p>
        </w:tc>
        <w:tc>
          <w:tcPr>
            <w:tcW w:w="1687" w:type="dxa"/>
            <w:tcBorders>
              <w:top w:val="single" w:sz="6" w:space="0" w:color="auto"/>
              <w:left w:val="double" w:sz="2" w:space="0" w:color="auto"/>
              <w:bottom w:val="single" w:sz="6"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28.5-32.6</w:t>
            </w:r>
          </w:p>
        </w:tc>
      </w:tr>
      <w:tr w:rsidR="00E732EF" w:rsidRPr="00E732EF" w:rsidTr="00E732EF">
        <w:trPr>
          <w:jc w:val="center"/>
        </w:trPr>
        <w:tc>
          <w:tcPr>
            <w:tcW w:w="1359" w:type="dxa"/>
            <w:tcBorders>
              <w:top w:val="single" w:sz="6" w:space="0" w:color="auto"/>
              <w:left w:val="double" w:sz="2" w:space="0" w:color="auto"/>
              <w:bottom w:val="double" w:sz="2" w:space="0" w:color="auto"/>
              <w:right w:val="double" w:sz="2" w:space="0" w:color="auto"/>
            </w:tcBorders>
            <w:shd w:val="clear" w:color="auto" w:fill="B8CCE4"/>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12</w:t>
            </w:r>
          </w:p>
        </w:tc>
        <w:tc>
          <w:tcPr>
            <w:tcW w:w="2214" w:type="dxa"/>
            <w:tcBorders>
              <w:top w:val="single" w:sz="6" w:space="0" w:color="auto"/>
              <w:left w:val="double" w:sz="2" w:space="0" w:color="auto"/>
              <w:bottom w:val="double" w:sz="2" w:space="0" w:color="auto"/>
              <w:right w:val="double" w:sz="2" w:space="0" w:color="auto"/>
            </w:tcBorders>
            <w:shd w:val="clear" w:color="auto" w:fill="auto"/>
            <w:vAlign w:val="center"/>
          </w:tcPr>
          <w:p w:rsidR="00E732EF" w:rsidRPr="00E732EF" w:rsidRDefault="00E732EF" w:rsidP="00E732EF">
            <w:pPr>
              <w:spacing w:after="0" w:line="240" w:lineRule="auto"/>
              <w:rPr>
                <w:rFonts w:ascii="Times New Roman" w:eastAsia="Calibri" w:hAnsi="Times New Roman" w:cs="Arial"/>
                <w:noProof/>
                <w:sz w:val="20"/>
                <w:szCs w:val="20"/>
              </w:rPr>
            </w:pPr>
            <w:r w:rsidRPr="00E732EF">
              <w:rPr>
                <w:rFonts w:ascii="Times New Roman" w:eastAsia="Calibri" w:hAnsi="Times New Roman" w:cs="Arial"/>
                <w:noProof/>
                <w:sz w:val="20"/>
                <w:szCs w:val="20"/>
              </w:rPr>
              <w:t>orkan</w:t>
            </w:r>
          </w:p>
        </w:tc>
        <w:tc>
          <w:tcPr>
            <w:tcW w:w="1687" w:type="dxa"/>
            <w:tcBorders>
              <w:top w:val="single" w:sz="6" w:space="0" w:color="auto"/>
              <w:left w:val="double" w:sz="2" w:space="0" w:color="auto"/>
              <w:bottom w:val="double" w:sz="2" w:space="0" w:color="auto"/>
              <w:right w:val="double" w:sz="2" w:space="0" w:color="auto"/>
            </w:tcBorders>
            <w:shd w:val="clear" w:color="auto" w:fill="auto"/>
            <w:vAlign w:val="center"/>
          </w:tcPr>
          <w:p w:rsidR="00E732EF" w:rsidRPr="00E732EF" w:rsidRDefault="00E732EF" w:rsidP="00E732EF">
            <w:pPr>
              <w:spacing w:after="0" w:line="240" w:lineRule="auto"/>
              <w:jc w:val="center"/>
              <w:rPr>
                <w:rFonts w:ascii="Times New Roman" w:eastAsia="Calibri" w:hAnsi="Times New Roman" w:cs="Arial"/>
                <w:noProof/>
                <w:sz w:val="20"/>
                <w:szCs w:val="20"/>
              </w:rPr>
            </w:pPr>
            <w:r w:rsidRPr="00E732EF">
              <w:rPr>
                <w:rFonts w:ascii="Times New Roman" w:eastAsia="Calibri" w:hAnsi="Times New Roman" w:cs="Arial"/>
                <w:noProof/>
                <w:sz w:val="20"/>
                <w:szCs w:val="20"/>
              </w:rPr>
              <w:t>32.7-36.9</w:t>
            </w:r>
          </w:p>
        </w:tc>
      </w:tr>
    </w:tbl>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Da bi se brzina vjetra iz m/s pretvorila u km/h potrebno je vrijednosti brzine pomnožiti s 3.6.</w:t>
      </w:r>
    </w:p>
    <w:p w:rsidR="00E732EF" w:rsidRPr="00E732EF" w:rsidRDefault="00E732EF" w:rsidP="00E732EF">
      <w:pPr>
        <w:spacing w:after="0" w:line="240" w:lineRule="auto"/>
        <w:jc w:val="both"/>
        <w:rPr>
          <w:rFonts w:ascii="Times New Roman" w:eastAsia="Calibri" w:hAnsi="Times New Roman" w:cs="Times New Roman"/>
          <w:i/>
          <w:iCs/>
          <w:noProof/>
          <w:u w:val="single"/>
        </w:rPr>
      </w:pPr>
      <w:bookmarkStart w:id="1" w:name="_Toc146683940"/>
    </w:p>
    <w:p w:rsidR="00E732EF" w:rsidRPr="00E732EF" w:rsidRDefault="00E732EF" w:rsidP="00E732EF">
      <w:pPr>
        <w:spacing w:after="0" w:line="240" w:lineRule="auto"/>
        <w:jc w:val="both"/>
        <w:rPr>
          <w:rFonts w:ascii="Times New Roman" w:eastAsia="Calibri" w:hAnsi="Times New Roman" w:cs="Times New Roman"/>
          <w:i/>
          <w:iCs/>
          <w:noProof/>
          <w:u w:val="single"/>
        </w:rPr>
      </w:pPr>
      <w:r w:rsidRPr="00E732EF">
        <w:rPr>
          <w:rFonts w:ascii="Times New Roman" w:eastAsia="Calibri" w:hAnsi="Times New Roman" w:cs="Times New Roman"/>
          <w:i/>
          <w:iCs/>
          <w:noProof/>
          <w:u w:val="single"/>
        </w:rPr>
        <w:t>Razdioba smjera i jačine vjetra</w:t>
      </w:r>
    </w:p>
    <w:bookmarkEnd w:id="1"/>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Poznato je da je u umjerenim geografskim širina stanje atmosfere vrlo promjenljivo. U skladu s tim područje Hrvatske obilježeno je raznolikošću vremenskih situacija uz česte i intenzivne promjene iz dana u dan i tijekom godine. Prema općoj cirkulaciji atmosfere u kontinentalnu Hrvatsku prodire hladan zrak maritimnog podrijetla iz sjeverozapadnog kvadranta i kontinentalnog podrijetla iz sjeveroistočnog kvadranta. Strujanje toplog zraka, koji može putem preko Sredozemlja poprimiti maritimne karakteristike, je najčešće iz južnog kvadranta. Međutim, primarni strujni režim modificira se na pojedinim lokacijama ovisno o reljefu tla kao što su izloženost terena, konkavnost i konveksnost reljefa, nadmorska visina i sl.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Za prikaz strujnog režima na području Općine Sveti Juraj na Bregu  i Međimurske županije analizirane su godišnje i sezonske vjerojatnosti istovremenog pojavljivanja pojedinih jačina i smjera vjetra za period (1981–2000). Rezultati analize prikazani su grafički na ružama vjetra (slike).</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Na godišnjoj ruži vjetra uočava se najveća učestalost  SW vjetra (11.0%). Relativna čestina tišina iznosi 5.2%. Ostali smjerovi su gotovo podjednako zastupljeni od 3.5% do 7% osim iz ESE smjera čija je učestalost oko 2.5%.</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Sličan oblik, kao i godišnja ruža vjetra, zadržavaju ruže vjetra i po sezonama. U jesen  pojavljuje se veća učestalost tišina (6.7%) što je povezano i s stacionarnim anticiklonalnim tipom vremena. Prevladava maglovito vrijeme ili niska naoblaka što ukazuje na malu turbulentnu razmjenu zraka i stabilnu stratifikaciju atmosfere. S druge strane, u hladnom dijelu godine javljaju se i prodori hladnog zraka sa sjevera i sjeveroistoka. U takvim vremenskim situacijama moguć je jak pa čak i olujan N–NE vjetar.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Za proljeće su karakteristični brže pokretni ciklonalni tipovi vremena (ciklone i doline sa sjeverozapada ili jugozapada) što dovodi do čestih i naglih promjena vremena, izmjenjuju se kišna s bezoborinskim razdobljima. Ljeti pak dominiraju barička polja s malim gradijentom tlaka u kojima također prevladava slab vjetar, ali s labilnom stratifikacijom atmosfere. U slučaju da je turbulentno miješanje zraka jako, razvijaju se grmljavinski oblaci Cumulonimbusi (oblaci vertikalnog razvoja s jakim uzlaznim strujama) i u popodnevnim i večernjim satima moguće je nevrijeme. U takvim ljetnim olujama javlja se jak odnosno olujan vjetar praćen pljuskom kiše i grmljavinom, a ponekad i tučom.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Od ukupnog broja podataka u Svetom Jurju na Bregu 1.2 % podatka otpada na jak vjetar (</w:t>
      </w:r>
      <w:r w:rsidRPr="00E732EF">
        <w:rPr>
          <w:rFonts w:ascii="Times New Roman" w:eastAsia="Calibri" w:hAnsi="Times New Roman" w:cs="Times New Roman"/>
          <w:noProof/>
        </w:rPr>
        <w:sym w:font="Symbol" w:char="F0B3"/>
      </w:r>
      <w:r w:rsidRPr="00E732EF">
        <w:rPr>
          <w:rFonts w:ascii="Times New Roman" w:eastAsia="Calibri" w:hAnsi="Times New Roman" w:cs="Times New Roman"/>
          <w:noProof/>
        </w:rPr>
        <w:t xml:space="preserve"> 6 Bf). Promatra li se jačina vjetra neovisno o smjeru i dobu godine, na meteorološkoj postaji uočava se prevladavanje slabog  vjetra jačine 1–3 Bf  u 84.9%. Umjeren i umjereno jak vjetar (4–5 Bf) javlja se rijetko (8.6%). Najjači opaženi vjetar iznosio je 8 Bf i to iz N, NNE i NNW smjerova. Jak vjetar nikada se nije pojavio iz smjerova ENE–ESE i SSE. </w:t>
      </w:r>
    </w:p>
    <w:p w:rsidR="00E732EF" w:rsidRPr="00E732EF" w:rsidRDefault="00E732EF" w:rsidP="00E732EF">
      <w:pPr>
        <w:spacing w:after="0" w:line="240" w:lineRule="auto"/>
        <w:jc w:val="both"/>
        <w:rPr>
          <w:rFonts w:ascii="Times New Roman" w:eastAsia="Calibri" w:hAnsi="Times New Roman" w:cs="Times New Roman"/>
          <w:b/>
          <w:noProof/>
        </w:rPr>
      </w:pPr>
      <w:r w:rsidRPr="00E732EF">
        <w:rPr>
          <w:rFonts w:ascii="Times New Roman" w:eastAsia="Calibri" w:hAnsi="Times New Roman" w:cs="Times New Roman"/>
          <w:noProof/>
        </w:rPr>
        <w:t xml:space="preserve">Prema tome, u najvećem broju slučajeva na području prevladava slab vjetar. U određenim vremenskim situacijama može se pojaviti jak ili olujan vjetar </w:t>
      </w:r>
      <w:r w:rsidRPr="00E732EF">
        <w:rPr>
          <w:rFonts w:ascii="Times New Roman" w:eastAsia="Calibri" w:hAnsi="Times New Roman" w:cs="Times New Roman"/>
          <w:noProof/>
        </w:rPr>
        <w:sym w:font="Symbol" w:char="F02D"/>
      </w:r>
      <w:r w:rsidRPr="00E732EF">
        <w:rPr>
          <w:rFonts w:ascii="Times New Roman" w:eastAsia="Calibri" w:hAnsi="Times New Roman" w:cs="Times New Roman"/>
          <w:noProof/>
        </w:rPr>
        <w:t xml:space="preserve"> u hladnom dijelu povezan je s prodorima hladnog zraka sa sjevera ili sjeveroistoka, a ljeti s olujnim nevremenima</w:t>
      </w:r>
    </w:p>
    <w:p w:rsidR="00E732EF" w:rsidRPr="00E732EF" w:rsidRDefault="00E732EF" w:rsidP="00E732EF">
      <w:pPr>
        <w:spacing w:after="0" w:line="240" w:lineRule="auto"/>
        <w:jc w:val="both"/>
        <w:rPr>
          <w:rFonts w:ascii="Times New Roman" w:eastAsia="Calibri" w:hAnsi="Times New Roman" w:cs="Times New Roman"/>
          <w:i/>
          <w:iCs/>
          <w:noProof/>
          <w:u w:val="single"/>
        </w:rPr>
      </w:pPr>
      <w:r w:rsidRPr="00E732EF">
        <w:rPr>
          <w:rFonts w:ascii="Times New Roman" w:eastAsia="Calibri" w:hAnsi="Times New Roman" w:cs="Times New Roman"/>
          <w:i/>
          <w:iCs/>
          <w:noProof/>
          <w:u w:val="single"/>
        </w:rPr>
        <w:lastRenderedPageBreak/>
        <w:t>Dani s jakim i olujnim vjetrom</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Dosadašnja analiza strujanja za Općinu Sveti Juraj na Bregu i Međimursku županiju izrađena je prema vrijednostima jačine i smjera vjetra u tri termina dnevno. Međutim, vjetar nije diskretna nego kontinuirana veličina, te se može pojaviti jak ili olujan vjetra izvan termina motrenja. Upravo zbog toga motritelji bilježe vrijeme nastupa i prestanka vjetra jačeg od 6 Bf i 8 Bf tijekom dana. Dan s jakim/olujnim vjetrom je onaj dan u kojem je barem jednom zabilježen vjetra jačine </w:t>
      </w:r>
      <w:r w:rsidRPr="00E732EF">
        <w:rPr>
          <w:rFonts w:ascii="Times New Roman" w:eastAsia="Calibri" w:hAnsi="Times New Roman" w:cs="Times New Roman"/>
          <w:noProof/>
        </w:rPr>
        <w:sym w:font="Symbol" w:char="F0B3"/>
      </w:r>
      <w:r w:rsidRPr="00E732EF">
        <w:rPr>
          <w:rFonts w:ascii="Times New Roman" w:eastAsia="Calibri" w:hAnsi="Times New Roman" w:cs="Times New Roman"/>
          <w:noProof/>
        </w:rPr>
        <w:t xml:space="preserve"> 6 Bf odnosno </w:t>
      </w:r>
      <w:r w:rsidRPr="00E732EF">
        <w:rPr>
          <w:rFonts w:ascii="Times New Roman" w:eastAsia="Calibri" w:hAnsi="Times New Roman" w:cs="Times New Roman"/>
          <w:noProof/>
        </w:rPr>
        <w:sym w:font="Symbol" w:char="F0B3"/>
      </w:r>
      <w:r w:rsidRPr="00E732EF">
        <w:rPr>
          <w:rFonts w:ascii="Times New Roman" w:eastAsia="Calibri" w:hAnsi="Times New Roman" w:cs="Times New Roman"/>
          <w:noProof/>
        </w:rPr>
        <w:t xml:space="preserve"> 8 Bf. Za cjelovitu sliku vjetrovnog režima promatranog područja izrađena je i analiza srednjeg mjesečnog i godišnjeg broja dana s jakim i olujnim vjetrom za Sveti Juraj na Bregu u razdoblju 1981–2000.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Prema 20-godišnjem razdoblju u Općini Sveti Juraj na Bregu (i Županiji) se jak vjetar prosječno javlja 13 dana u godini, a olujni vjetar 0.3 dana. Najveći broj dana s jakim vjetrom iznosio je 24 dana zabilježeno 1994. od čega je 2 dana bilo s olujnim vjetrom. Međutim, taj broj dana jako varira od godine do godine što pokazuju velike vrijednosti standardne devijacije.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Godišnji hod dana s jakim vjetrom pokazuje tu pojavu tijekom cijele godine, a olujni vjetar je bio opažen od veljače do travnja i u kolovozu u promatranom 20-godišnjem razdoblju. Najveći broj takvih dana javlja se u hladnom dijelu godine. U ožujku 1980 i veljači 1990. opažen je maksimalan broj dana s jakim vjetrom (po 6 dana), a olujni vjetar je vrlo rijedak i ako se pojavi to je onda samo jednom u mjesecu.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Slike 5  Sezonske i Godišnja ruža vjetra, 1981.-2000.godine, meteorološka postaja Čakovec</w:t>
      </w:r>
    </w:p>
    <w:p w:rsidR="00E732EF" w:rsidRPr="00E732EF" w:rsidRDefault="00E732EF" w:rsidP="00E732EF">
      <w:pPr>
        <w:spacing w:after="0" w:line="240" w:lineRule="auto"/>
        <w:jc w:val="both"/>
        <w:rPr>
          <w:rFonts w:ascii="Calibri" w:eastAsia="Calibri" w:hAnsi="Calibri" w:cs="Times New Roman"/>
          <w:noProof/>
        </w:rPr>
      </w:pPr>
      <w:r>
        <w:rPr>
          <w:rFonts w:ascii="Calibri" w:eastAsia="Calibri" w:hAnsi="Calibri" w:cs="Times New Roman"/>
          <w:noProof/>
          <w:lang w:eastAsia="hr-HR"/>
        </w:rPr>
        <w:drawing>
          <wp:inline distT="0" distB="0" distL="0" distR="0">
            <wp:extent cx="1569720" cy="150939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l="8998" r="17995"/>
                    <a:stretch>
                      <a:fillRect/>
                    </a:stretch>
                  </pic:blipFill>
                  <pic:spPr bwMode="auto">
                    <a:xfrm>
                      <a:off x="0" y="0"/>
                      <a:ext cx="1569720" cy="1509395"/>
                    </a:xfrm>
                    <a:prstGeom prst="rect">
                      <a:avLst/>
                    </a:prstGeom>
                    <a:noFill/>
                    <a:ln>
                      <a:noFill/>
                    </a:ln>
                  </pic:spPr>
                </pic:pic>
              </a:graphicData>
            </a:graphic>
          </wp:inline>
        </w:drawing>
      </w:r>
      <w:r>
        <w:rPr>
          <w:rFonts w:ascii="Calibri" w:eastAsia="Calibri" w:hAnsi="Calibri" w:cs="Times New Roman"/>
          <w:noProof/>
          <w:lang w:eastAsia="hr-HR"/>
        </w:rPr>
        <w:drawing>
          <wp:inline distT="0" distB="0" distL="0" distR="0">
            <wp:extent cx="1552575" cy="149225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l="9064" r="18126"/>
                    <a:stretch>
                      <a:fillRect/>
                    </a:stretch>
                  </pic:blipFill>
                  <pic:spPr bwMode="auto">
                    <a:xfrm>
                      <a:off x="0" y="0"/>
                      <a:ext cx="1552575" cy="1492250"/>
                    </a:xfrm>
                    <a:prstGeom prst="rect">
                      <a:avLst/>
                    </a:prstGeom>
                    <a:noFill/>
                    <a:ln>
                      <a:noFill/>
                    </a:ln>
                  </pic:spPr>
                </pic:pic>
              </a:graphicData>
            </a:graphic>
          </wp:inline>
        </w:drawing>
      </w:r>
      <w:r>
        <w:rPr>
          <w:rFonts w:ascii="Calibri" w:eastAsia="Calibri" w:hAnsi="Calibri" w:cs="Times New Roman"/>
          <w:noProof/>
          <w:lang w:eastAsia="hr-HR"/>
        </w:rPr>
        <w:drawing>
          <wp:inline distT="0" distB="0" distL="0" distR="0">
            <wp:extent cx="1552575" cy="1483995"/>
            <wp:effectExtent l="0" t="0" r="9525" b="190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l="9041" r="18082"/>
                    <a:stretch>
                      <a:fillRect/>
                    </a:stretch>
                  </pic:blipFill>
                  <pic:spPr bwMode="auto">
                    <a:xfrm>
                      <a:off x="0" y="0"/>
                      <a:ext cx="1552575" cy="1483995"/>
                    </a:xfrm>
                    <a:prstGeom prst="rect">
                      <a:avLst/>
                    </a:prstGeom>
                    <a:noFill/>
                    <a:ln>
                      <a:noFill/>
                    </a:ln>
                  </pic:spPr>
                </pic:pic>
              </a:graphicData>
            </a:graphic>
          </wp:inline>
        </w:drawing>
      </w:r>
    </w:p>
    <w:p w:rsidR="00E732EF" w:rsidRPr="00E732EF" w:rsidRDefault="00E732EF" w:rsidP="00E732EF">
      <w:pPr>
        <w:spacing w:after="0" w:line="240" w:lineRule="auto"/>
        <w:jc w:val="both"/>
        <w:rPr>
          <w:rFonts w:ascii="Calibri" w:eastAsia="Calibri" w:hAnsi="Calibri" w:cs="Times New Roman"/>
          <w:noProof/>
        </w:rPr>
      </w:pPr>
      <w:r>
        <w:rPr>
          <w:rFonts w:ascii="Calibri" w:eastAsia="Calibri" w:hAnsi="Calibri" w:cs="Times New Roman"/>
          <w:noProof/>
          <w:lang w:eastAsia="hr-HR"/>
        </w:rPr>
        <w:drawing>
          <wp:inline distT="0" distB="0" distL="0" distR="0">
            <wp:extent cx="1569720" cy="1518285"/>
            <wp:effectExtent l="0" t="0" r="0"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l="9019" r="18039"/>
                    <a:stretch>
                      <a:fillRect/>
                    </a:stretch>
                  </pic:blipFill>
                  <pic:spPr bwMode="auto">
                    <a:xfrm>
                      <a:off x="0" y="0"/>
                      <a:ext cx="1569720" cy="1518285"/>
                    </a:xfrm>
                    <a:prstGeom prst="rect">
                      <a:avLst/>
                    </a:prstGeom>
                    <a:noFill/>
                    <a:ln>
                      <a:noFill/>
                    </a:ln>
                  </pic:spPr>
                </pic:pic>
              </a:graphicData>
            </a:graphic>
          </wp:inline>
        </w:drawing>
      </w:r>
      <w:r>
        <w:rPr>
          <w:rFonts w:ascii="Calibri" w:eastAsia="Calibri" w:hAnsi="Calibri" w:cs="Times New Roman"/>
          <w:noProof/>
          <w:lang w:eastAsia="hr-HR"/>
        </w:rPr>
        <w:drawing>
          <wp:inline distT="0" distB="0" distL="0" distR="0">
            <wp:extent cx="1475105" cy="1405890"/>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l="9085" r="18169"/>
                    <a:stretch>
                      <a:fillRect/>
                    </a:stretch>
                  </pic:blipFill>
                  <pic:spPr bwMode="auto">
                    <a:xfrm>
                      <a:off x="0" y="0"/>
                      <a:ext cx="1475105" cy="1405890"/>
                    </a:xfrm>
                    <a:prstGeom prst="rect">
                      <a:avLst/>
                    </a:prstGeom>
                    <a:noFill/>
                    <a:ln>
                      <a:noFill/>
                    </a:ln>
                  </pic:spPr>
                </pic:pic>
              </a:graphicData>
            </a:graphic>
          </wp:inline>
        </w:drawing>
      </w:r>
      <w:r>
        <w:rPr>
          <w:rFonts w:ascii="Calibri" w:eastAsia="Calibri" w:hAnsi="Calibri" w:cs="Times New Roman"/>
          <w:noProof/>
          <w:sz w:val="20"/>
          <w:lang w:eastAsia="hr-HR"/>
        </w:rPr>
        <w:drawing>
          <wp:inline distT="0" distB="0" distL="0" distR="0">
            <wp:extent cx="1725295" cy="1026795"/>
            <wp:effectExtent l="0" t="0" r="8255"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r="7484" b="7602"/>
                    <a:stretch>
                      <a:fillRect/>
                    </a:stretch>
                  </pic:blipFill>
                  <pic:spPr bwMode="auto">
                    <a:xfrm>
                      <a:off x="0" y="0"/>
                      <a:ext cx="1725295" cy="1026795"/>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Tablica 6: Godišnjih hod odabranog meteorološkog parametra (Sv.JurajBregu), 1995.-2005.godine</w:t>
      </w:r>
    </w:p>
    <w:tbl>
      <w:tblPr>
        <w:tblW w:w="9246" w:type="dxa"/>
        <w:jc w:val="center"/>
        <w:tblInd w:w="-8"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4"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MJESECI</w:t>
            </w:r>
          </w:p>
        </w:tc>
        <w:tc>
          <w:tcPr>
            <w:tcW w:w="624" w:type="dxa"/>
            <w:tcBorders>
              <w:top w:val="double" w:sz="4"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2</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3</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4</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5</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6</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7</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8</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9</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10</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12</w:t>
            </w:r>
          </w:p>
        </w:tc>
        <w:tc>
          <w:tcPr>
            <w:tcW w:w="737" w:type="dxa"/>
            <w:tcBorders>
              <w:top w:val="double" w:sz="4"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GOD</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BROJ DANA S JAKIM VJETROM</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1.5</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2.2</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1.4</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1.4</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0.4</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0.7</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0.8</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0.4</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0.8</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w:t>
            </w:r>
          </w:p>
        </w:tc>
        <w:tc>
          <w:tcPr>
            <w:tcW w:w="737" w:type="dxa"/>
            <w:tcBorders>
              <w:top w:val="double" w:sz="4"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13.0</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1.6</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1.7</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2.1</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1.6</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0.8</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0.6</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0.7</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0.9</w:t>
            </w:r>
          </w:p>
        </w:tc>
        <w:tc>
          <w:tcPr>
            <w:tcW w:w="624" w:type="dxa"/>
            <w:tcBorders>
              <w:top w:val="single" w:sz="2" w:space="0" w:color="auto"/>
              <w:left w:val="single" w:sz="6" w:space="0" w:color="auto"/>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1.4</w:t>
            </w:r>
          </w:p>
        </w:tc>
        <w:tc>
          <w:tcPr>
            <w:tcW w:w="737" w:type="dxa"/>
            <w:tcBorders>
              <w:top w:val="single" w:sz="2"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6.7</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r>
      <w:tr w:rsidR="00E732EF" w:rsidRPr="00E732EF" w:rsidTr="00E732EF">
        <w:trPr>
          <w:trHeight w:val="249"/>
          <w:jc w:val="center"/>
        </w:trPr>
        <w:tc>
          <w:tcPr>
            <w:tcW w:w="1021" w:type="dxa"/>
            <w:tcBorders>
              <w:top w:val="single" w:sz="2"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5</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6</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6</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3</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4</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3</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4</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3</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2</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2</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3</w:t>
            </w:r>
          </w:p>
        </w:tc>
        <w:tc>
          <w:tcPr>
            <w:tcW w:w="624" w:type="dxa"/>
            <w:tcBorders>
              <w:top w:val="single" w:sz="2" w:space="0" w:color="auto"/>
              <w:left w:val="single" w:sz="6" w:space="0" w:color="auto"/>
              <w:bottom w:val="double" w:sz="6" w:space="0" w:color="auto"/>
              <w:right w:val="nil"/>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5</w:t>
            </w:r>
          </w:p>
        </w:tc>
        <w:tc>
          <w:tcPr>
            <w:tcW w:w="737" w:type="dxa"/>
            <w:tcBorders>
              <w:top w:val="single" w:sz="2" w:space="0" w:color="auto"/>
              <w:left w:val="double" w:sz="4" w:space="0" w:color="auto"/>
              <w:bottom w:val="double" w:sz="6" w:space="0" w:color="auto"/>
              <w:right w:val="doub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24</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BROJ DANA S OLUJNIM VJETROM</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737" w:type="dxa"/>
            <w:tcBorders>
              <w:top w:val="double" w:sz="4"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737" w:type="dxa"/>
            <w:tcBorders>
              <w:top w:val="single" w:sz="2"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0.7</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r>
      <w:tr w:rsidR="00E732EF" w:rsidRPr="00E732EF" w:rsidTr="00E732EF">
        <w:trPr>
          <w:trHeight w:val="249"/>
          <w:jc w:val="center"/>
        </w:trPr>
        <w:tc>
          <w:tcPr>
            <w:tcW w:w="1021" w:type="dxa"/>
            <w:tcBorders>
              <w:top w:val="single" w:sz="2"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sing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6" w:space="0" w:color="auto"/>
              <w:right w:val="nil"/>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double" w:sz="6" w:space="0" w:color="auto"/>
              <w:right w:val="double" w:sz="6" w:space="0" w:color="auto"/>
            </w:tcBorders>
            <w:vAlign w:val="bottom"/>
          </w:tcPr>
          <w:p w:rsidR="00E732EF" w:rsidRPr="00E732EF" w:rsidRDefault="00E732EF" w:rsidP="00E732EF">
            <w:pPr>
              <w:spacing w:after="0" w:line="240" w:lineRule="auto"/>
              <w:jc w:val="center"/>
              <w:rPr>
                <w:rFonts w:ascii="Arial" w:eastAsia="Times New Roman" w:hAnsi="Arial" w:cs="Arial"/>
                <w:noProof/>
                <w:sz w:val="18"/>
                <w:szCs w:val="20"/>
              </w:rPr>
            </w:pPr>
            <w:r w:rsidRPr="00E732EF">
              <w:rPr>
                <w:rFonts w:ascii="Arial" w:eastAsia="Times New Roman" w:hAnsi="Arial" w:cs="Arial"/>
                <w:noProof/>
                <w:sz w:val="18"/>
                <w:szCs w:val="20"/>
              </w:rPr>
              <w:t>2</w:t>
            </w:r>
          </w:p>
        </w:tc>
      </w:tr>
      <w:tr w:rsidR="00E732EF" w:rsidRPr="00E732EF" w:rsidTr="00E732EF">
        <w:trPr>
          <w:trHeight w:val="249"/>
          <w:jc w:val="center"/>
        </w:trPr>
        <w:tc>
          <w:tcPr>
            <w:tcW w:w="9246" w:type="dxa"/>
            <w:gridSpan w:val="14"/>
            <w:tcBorders>
              <w:top w:val="double" w:sz="4" w:space="0" w:color="auto"/>
              <w:left w:val="double" w:sz="6" w:space="0" w:color="auto"/>
              <w:bottom w:val="double" w:sz="4"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MAKSIMALNI UDARI VJETRA (m/s)</w:t>
            </w:r>
          </w:p>
        </w:tc>
      </w:tr>
      <w:tr w:rsidR="00E732EF" w:rsidRPr="00E732EF" w:rsidTr="00E732EF">
        <w:trPr>
          <w:cantSplit/>
          <w:trHeight w:val="249"/>
          <w:jc w:val="center"/>
        </w:trPr>
        <w:tc>
          <w:tcPr>
            <w:tcW w:w="1021" w:type="dxa"/>
            <w:vMerge w:val="restart"/>
            <w:tcBorders>
              <w:top w:val="double" w:sz="4" w:space="0" w:color="auto"/>
              <w:left w:val="double" w:sz="6"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 xml:space="preserve">MAKS* </w:t>
            </w:r>
          </w:p>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1995-2005</w:t>
            </w:r>
          </w:p>
        </w:tc>
        <w:tc>
          <w:tcPr>
            <w:tcW w:w="624" w:type="dxa"/>
            <w:tcBorders>
              <w:top w:val="double" w:sz="4"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22.7</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22.4</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24.2</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30.9</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21.5</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22.8</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21.7</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20.5</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18.7</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29.0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28.9</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18.8</w:t>
            </w:r>
          </w:p>
        </w:tc>
        <w:tc>
          <w:tcPr>
            <w:tcW w:w="737" w:type="dxa"/>
            <w:tcBorders>
              <w:top w:val="double" w:sz="4"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30.9</w:t>
            </w:r>
          </w:p>
        </w:tc>
      </w:tr>
      <w:tr w:rsidR="00E732EF" w:rsidRPr="00E732EF" w:rsidTr="00E732EF">
        <w:trPr>
          <w:cantSplit/>
          <w:trHeight w:val="249"/>
          <w:jc w:val="center"/>
        </w:trPr>
        <w:tc>
          <w:tcPr>
            <w:tcW w:w="1021" w:type="dxa"/>
            <w:vMerge/>
            <w:tcBorders>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p>
        </w:tc>
        <w:tc>
          <w:tcPr>
            <w:tcW w:w="624" w:type="dxa"/>
            <w:tcBorders>
              <w:top w:val="single" w:sz="2"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ENE</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W</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ENE</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WNW</w:t>
            </w:r>
          </w:p>
        </w:tc>
        <w:tc>
          <w:tcPr>
            <w:tcW w:w="624" w:type="dxa"/>
            <w:tcBorders>
              <w:top w:val="single" w:sz="2"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c>
          <w:tcPr>
            <w:tcW w:w="624" w:type="dxa"/>
            <w:tcBorders>
              <w:top w:val="single" w:sz="2"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NNE</w:t>
            </w:r>
          </w:p>
        </w:tc>
        <w:tc>
          <w:tcPr>
            <w:tcW w:w="737" w:type="dxa"/>
            <w:tcBorders>
              <w:top w:val="single" w:sz="2"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NW</w:t>
            </w:r>
          </w:p>
        </w:tc>
      </w:tr>
    </w:tbl>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lastRenderedPageBreak/>
        <w:t xml:space="preserve">Preventivne mjere radi umanjenja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Kod planiranja i gradnje prometnica valja voditi računa o vjetru i pojavi ekstremnih zračnih turbulencija. Na prometnicama tj. na mjestima gdje vjetar ima jače olujne udare trebaju postavljati posebni zaštitni sistemi, tzv. vjetrobrani i posebni znakovi upozorenja. </w:t>
      </w: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 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po procjeni općinskog načelnika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naseljima u kojima su se dogodile najveće materijalne štete</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o funkcioniranju: sustava za elektroopskrbu, sustava telekomunikacija,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VZ Općine i komunalnih društava te drugih žurnih službi i operativnih snaga</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telekomunikacija i  opskrbu električnom energijom po prioritetima</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prometnica na području sljedećim prioritetom: 1.  Županijske ceste  2. Lokalne ceste</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privremene  sanacije oštećenja slijedećih  objekata: 1. zdravstvene ustanove 2. škola 3. zgrada opć. uprave 4. trgovine 5. vatrogasni i društveni domovi 6. privatni objekti prema stupnju oštećenja</w:t>
            </w:r>
          </w:p>
        </w:tc>
      </w:tr>
      <w:tr w:rsidR="00E732EF" w:rsidRPr="00E732EF" w:rsidTr="00E732EF">
        <w:trPr>
          <w:trHeight w:val="176"/>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Pozivanje vlasnika poduzeća i službi koji se bave takvom vrstom djelatnosti koja može izvršiti privremenu sanaciju štete, odnosna pravnih osoba određenih Odlukom Općine od značaja za sustav CZ</w:t>
            </w:r>
          </w:p>
        </w:tc>
      </w:tr>
      <w:tr w:rsidR="00E732EF" w:rsidRPr="00E732EF" w:rsidTr="00E732EF">
        <w:trPr>
          <w:trHeight w:val="206"/>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Općine nastavlja aktivnosti na popisu i procjeni štete sukladno Zakonu te o rezultatima izvješćuje Međimurska županija.</w:t>
            </w:r>
          </w:p>
        </w:tc>
      </w:tr>
    </w:tbl>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2.1.3. </w:t>
      </w:r>
      <w:r w:rsidRPr="00E732EF">
        <w:rPr>
          <w:rFonts w:ascii="Times New Roman" w:eastAsia="Calibri" w:hAnsi="Times New Roman" w:cs="Times New Roman"/>
          <w:b/>
          <w:bCs/>
        </w:rPr>
        <w:t>SNJEŽNE OBORINE</w:t>
      </w:r>
      <w:r w:rsidRPr="00E732EF">
        <w:rPr>
          <w:rFonts w:ascii="Times New Roman" w:eastAsia="Calibri" w:hAnsi="Times New Roman" w:cs="Times New Roman"/>
        </w:rPr>
        <w:t xml:space="preserve"> </w:t>
      </w:r>
    </w:p>
    <w:p w:rsidR="00E732EF" w:rsidRPr="00E732EF" w:rsidRDefault="00E732EF" w:rsidP="00E732EF">
      <w:pPr>
        <w:spacing w:after="0" w:line="240" w:lineRule="auto"/>
        <w:jc w:val="both"/>
        <w:rPr>
          <w:rFonts w:ascii="Times New Roman" w:eastAsia="Calibri" w:hAnsi="Times New Roman" w:cs="Times New Roman"/>
          <w:noProof/>
          <w:color w:val="000000"/>
        </w:rPr>
      </w:pPr>
      <w:r w:rsidRPr="00E732EF">
        <w:rPr>
          <w:rFonts w:ascii="Times New Roman" w:eastAsia="Calibri" w:hAnsi="Times New Roman" w:cs="Times New Roman"/>
          <w:noProof/>
        </w:rPr>
        <w:t xml:space="preserve">Snijeg može predstavljati ozbiljnu poteškoću za normalno odvijanje svakodnevnih aktivnosti kao što je npr. cestovni promet ili može predstavljati opterećenje na građevinskoj infrastrukturi (dalekovodi, zgrade i dr.). Za prvu ocjenu ugroženosti od snijega analizira se učestalost padanja snijega, maksimalna visina novog snijega, maksimalna visina snježnog pokrivača po mjesecima, te procjena očekivane godišnje maksimalne visine </w:t>
      </w:r>
      <w:r w:rsidRPr="00E732EF">
        <w:rPr>
          <w:rFonts w:ascii="Times New Roman" w:eastAsia="Calibri" w:hAnsi="Times New Roman" w:cs="Times New Roman"/>
          <w:noProof/>
          <w:color w:val="000000"/>
        </w:rPr>
        <w:t xml:space="preserve">snježnog pokrivača za povratni period od 50 godina. </w:t>
      </w:r>
    </w:p>
    <w:p w:rsidR="00E732EF" w:rsidRPr="00E732EF" w:rsidRDefault="00E732EF" w:rsidP="00E732EF">
      <w:pPr>
        <w:spacing w:after="0" w:line="240" w:lineRule="auto"/>
        <w:jc w:val="both"/>
        <w:rPr>
          <w:rFonts w:ascii="Times New Roman" w:eastAsia="Calibri" w:hAnsi="Times New Roman" w:cs="Times New Roman"/>
          <w:noProof/>
          <w:color w:val="000000"/>
        </w:rPr>
      </w:pPr>
      <w:r w:rsidRPr="00E732EF">
        <w:rPr>
          <w:rFonts w:ascii="Times New Roman" w:eastAsia="Calibri" w:hAnsi="Times New Roman" w:cs="Times New Roman"/>
          <w:noProof/>
          <w:color w:val="000000"/>
        </w:rPr>
        <w:t xml:space="preserve">Za prikaz godišnjeg hoda navedenih parametara snijega na području Općine Sveti Juraj na Bregu i Međimurske županije koriste se podaci s klimatološke </w:t>
      </w:r>
      <w:r w:rsidRPr="00E732EF">
        <w:rPr>
          <w:rFonts w:ascii="Times New Roman" w:eastAsia="Calibri" w:hAnsi="Times New Roman" w:cs="Times New Roman"/>
          <w:noProof/>
        </w:rPr>
        <w:t xml:space="preserve">postaje Čakovec za razdoblje </w:t>
      </w:r>
      <w:r w:rsidRPr="00E732EF">
        <w:rPr>
          <w:rFonts w:ascii="Times New Roman" w:eastAsia="Calibri" w:hAnsi="Times New Roman" w:cs="Times New Roman"/>
          <w:noProof/>
          <w:color w:val="000000"/>
        </w:rPr>
        <w:t xml:space="preserve">1981-2000. U tablici su prikazani srednji mjesečni i godišnji broj dana s padanjem snijega, standardna devijacija kao mjera odstupanja od srednjaka u vremenu te najveći i najmanji broj dana s padanjem snijega koji je zabilježen u višegodišnjem razdoblju. Slijede podaci o najvećoj visini novog snijega i najvećoj visini </w:t>
      </w:r>
      <w:r w:rsidRPr="00E732EF">
        <w:rPr>
          <w:rFonts w:ascii="Times New Roman" w:eastAsia="Calibri" w:hAnsi="Times New Roman" w:cs="Times New Roman"/>
          <w:noProof/>
          <w:color w:val="000000"/>
        </w:rPr>
        <w:lastRenderedPageBreak/>
        <w:t>snježnog pokrivača izmjereni u pojedinom mjesecu u istom višegodišnjem razdoblju, te procjena maksimalne visine snježnog pokrivača, koji se može očekivati u prosjeku jednom u 50 godina (prema nizu 1961-1990.).</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Na području Svetog Jurja na Bregu padanje snijega može se očekivati svake godine. U promatranih 20 godina najviše snježnih dana i to 39 dana bilo je tijekom zime 1995/1996., a najmanje, 2 dana, zimi 1989/1990. U prosjeku godišnje se može očekivati oko 17 dana s padanjem snijega i to u razdoblju od listopada do travnja. Od prosinca do ožujka javlja se gotovo svake godine, u 20 godina izostao je samo u 3 zime i prosječno pada 2 do 5 dana u pojedinom mjesecu. Od prosinca do veljače najdulje je padao 10-11 dana mjesečno. U listopadu se javio samo jednom u 20 godina i nije se zadržao na tlu. U studenom je rjeđa pojava, u prosjeku se javlja svake druge godine i prosječno pada 2 dana. No, 1993. je padao 9 dana. S pojavom snijega u travnju treba računati, iako snježna zima češće završi s ožujkom.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Maksimalna visina novog snijega izmjerena je u veljači 1999. (35 cm), a novi snijeg viši od 30 cm zabilježen je i u studenom (33 cm) i prosincu (30 cm) i to 1993.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Maksimalne visine snježnog pokrivača tijekom zime javljaju se najčešće u veljači (8 puta u 20 godina), i podjednako često od studenog do siječnja (3 puta u 20 godina u svakom mjesecu). Od studenog do ožujka izmjerene su maksimalne visine snježnog pokrivača iznad 50 cm (osim siječnja). Najviši snježni pokrivač od 57 cm izmjeren je u studenom 1993. Maksimum za prosinac zabilježen je iste godine (1993.) i iznosio je 55 cm. Ista najveća visina snježnog pokrivača izmjerena je i u veljači. Prema procjeni ekstremnih vrijednosti, jednom u 50 godina može se očekivati snježni pokrivač od 65 cm, odnosno s vjerojatnošću 98% da neće biti premašen.</w:t>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Tablica 3: Godišnjih hod odabranog meteorološkog parametra (Sv.Juraj na Bregu), 1995.-2005.godine</w:t>
      </w:r>
    </w:p>
    <w:tbl>
      <w:tblPr>
        <w:tblW w:w="9246" w:type="dxa"/>
        <w:jc w:val="center"/>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6" w:space="0" w:color="auto"/>
              <w:left w:val="double" w:sz="6" w:space="0" w:color="auto"/>
              <w:bottom w:val="nil"/>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MJESECI</w:t>
            </w:r>
          </w:p>
        </w:tc>
        <w:tc>
          <w:tcPr>
            <w:tcW w:w="624" w:type="dxa"/>
            <w:tcBorders>
              <w:top w:val="double" w:sz="6" w:space="0" w:color="auto"/>
              <w:left w:val="nil"/>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7</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8</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9</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10</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11</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12</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2</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3</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4</w:t>
            </w:r>
          </w:p>
        </w:tc>
        <w:tc>
          <w:tcPr>
            <w:tcW w:w="624" w:type="dxa"/>
            <w:tcBorders>
              <w:top w:val="double" w:sz="6" w:space="0" w:color="auto"/>
              <w:left w:val="single" w:sz="6" w:space="0" w:color="auto"/>
              <w:bottom w:val="nil"/>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5</w:t>
            </w:r>
          </w:p>
        </w:tc>
        <w:tc>
          <w:tcPr>
            <w:tcW w:w="624" w:type="dxa"/>
            <w:tcBorders>
              <w:top w:val="double" w:sz="6" w:space="0" w:color="auto"/>
              <w:left w:val="nil"/>
              <w:bottom w:val="nil"/>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6</w:t>
            </w:r>
          </w:p>
        </w:tc>
        <w:tc>
          <w:tcPr>
            <w:tcW w:w="737" w:type="dxa"/>
            <w:tcBorders>
              <w:top w:val="double" w:sz="6" w:space="0" w:color="auto"/>
              <w:left w:val="double" w:sz="4" w:space="0" w:color="auto"/>
              <w:bottom w:val="nil"/>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ZIMA</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BROJ DANA S PADANJEM SNIJEGA</w:t>
            </w:r>
          </w:p>
        </w:tc>
      </w:tr>
      <w:tr w:rsidR="00E732EF" w:rsidRPr="00E732EF" w:rsidTr="00E732EF">
        <w:trPr>
          <w:trHeight w:hRule="exac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0.1</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1.9</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4.5</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3.7</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3.6</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2.4</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0.9</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737" w:type="dxa"/>
            <w:tcBorders>
              <w:top w:val="double" w:sz="4"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16.3</w:t>
            </w:r>
          </w:p>
        </w:tc>
      </w:tr>
      <w:tr w:rsidR="00E732EF" w:rsidRPr="00E732EF" w:rsidTr="00E732EF">
        <w:trPr>
          <w:trHeight w:hRule="exac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2.9</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2.0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1.7</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8.7</w:t>
            </w:r>
          </w:p>
        </w:tc>
      </w:tr>
      <w:tr w:rsidR="00E732EF" w:rsidRPr="00E732EF" w:rsidTr="00E732EF">
        <w:trPr>
          <w:trHeight w:hRule="exac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2</w:t>
            </w:r>
          </w:p>
        </w:tc>
      </w:tr>
      <w:tr w:rsidR="00E732EF" w:rsidRPr="00E732EF" w:rsidTr="00E732EF">
        <w:trPr>
          <w:trHeight w:hRule="exact" w:val="249"/>
          <w:jc w:val="center"/>
        </w:trPr>
        <w:tc>
          <w:tcPr>
            <w:tcW w:w="1021" w:type="dxa"/>
            <w:tcBorders>
              <w:top w:val="single" w:sz="2" w:space="0" w:color="auto"/>
              <w:left w:val="double" w:sz="6" w:space="0" w:color="auto"/>
              <w:bottom w:val="double" w:sz="4"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9</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6</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6</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single" w:sz="2" w:space="0" w:color="auto"/>
              <w:left w:val="single" w:sz="6" w:space="0" w:color="auto"/>
              <w:bottom w:val="double" w:sz="4"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737" w:type="dxa"/>
            <w:tcBorders>
              <w:top w:val="single" w:sz="2" w:space="0" w:color="auto"/>
              <w:left w:val="double" w:sz="4" w:space="0" w:color="auto"/>
              <w:bottom w:val="double" w:sz="4"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39</w:t>
            </w:r>
          </w:p>
        </w:tc>
      </w:tr>
      <w:tr w:rsidR="00E732EF" w:rsidRPr="00E732EF" w:rsidTr="00E732EF">
        <w:trPr>
          <w:trHeight w:val="249"/>
          <w:jc w:val="center"/>
        </w:trPr>
        <w:tc>
          <w:tcPr>
            <w:tcW w:w="9246" w:type="dxa"/>
            <w:gridSpan w:val="14"/>
            <w:tcBorders>
              <w:top w:val="double" w:sz="4" w:space="0" w:color="auto"/>
              <w:left w:val="double" w:sz="6" w:space="0" w:color="auto"/>
              <w:bottom w:val="double" w:sz="6"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MAKSIMALNA VISINA NOVOGA SNIJEGA (cm)</w:t>
            </w:r>
          </w:p>
        </w:tc>
      </w:tr>
      <w:tr w:rsidR="00E732EF" w:rsidRPr="00E732EF" w:rsidTr="00E732EF">
        <w:trPr>
          <w:trHeight w:hRule="exact" w:val="249"/>
          <w:jc w:val="center"/>
        </w:trPr>
        <w:tc>
          <w:tcPr>
            <w:tcW w:w="1021" w:type="dxa"/>
            <w:tcBorders>
              <w:top w:val="double" w:sz="6" w:space="0" w:color="auto"/>
              <w:left w:val="double" w:sz="6" w:space="0" w:color="auto"/>
              <w:bottom w:val="nil"/>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double" w:sz="6" w:space="0" w:color="auto"/>
              <w:left w:val="nil"/>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33</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30</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11</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35</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9</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16</w:t>
            </w:r>
          </w:p>
        </w:tc>
        <w:tc>
          <w:tcPr>
            <w:tcW w:w="624" w:type="dxa"/>
            <w:tcBorders>
              <w:top w:val="double" w:sz="6" w:space="0" w:color="auto"/>
              <w:left w:val="single" w:sz="6" w:space="0" w:color="auto"/>
              <w:bottom w:val="nil"/>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6" w:space="0" w:color="auto"/>
              <w:left w:val="single" w:sz="6" w:space="0" w:color="auto"/>
              <w:bottom w:val="nil"/>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737" w:type="dxa"/>
            <w:tcBorders>
              <w:top w:val="double" w:sz="6" w:space="0" w:color="auto"/>
              <w:left w:val="double" w:sz="4" w:space="0" w:color="auto"/>
              <w:bottom w:val="nil"/>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Arial Unicode MS" w:hAnsi="Arial" w:cs="Arial"/>
                <w:noProof/>
                <w:sz w:val="18"/>
                <w:szCs w:val="20"/>
              </w:rPr>
              <w:t>35</w:t>
            </w:r>
          </w:p>
        </w:tc>
      </w:tr>
      <w:tr w:rsidR="00E732EF" w:rsidRPr="00E732EF" w:rsidTr="00E732EF">
        <w:trPr>
          <w:trHeight w:val="249"/>
          <w:jc w:val="center"/>
        </w:trPr>
        <w:tc>
          <w:tcPr>
            <w:tcW w:w="9246" w:type="dxa"/>
            <w:gridSpan w:val="14"/>
            <w:tcBorders>
              <w:top w:val="double" w:sz="4" w:space="0" w:color="auto"/>
              <w:left w:val="double" w:sz="6" w:space="0" w:color="auto"/>
              <w:bottom w:val="double" w:sz="4"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MAKSIMALNA VISINA SNJEŽNOG POKRIVAČA (cm)</w:t>
            </w:r>
          </w:p>
        </w:tc>
      </w:tr>
      <w:tr w:rsidR="00E732EF" w:rsidRPr="00E732EF" w:rsidTr="00E732EF">
        <w:trPr>
          <w:trHeight w:hRule="exac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double" w:sz="4"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57</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55</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37</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55</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16</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0</w:t>
            </w:r>
          </w:p>
        </w:tc>
        <w:tc>
          <w:tcPr>
            <w:tcW w:w="737" w:type="dxa"/>
            <w:tcBorders>
              <w:top w:val="double" w:sz="4"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20"/>
              </w:rPr>
            </w:pPr>
            <w:r w:rsidRPr="00E732EF">
              <w:rPr>
                <w:rFonts w:ascii="Arial" w:eastAsia="Times New Roman" w:hAnsi="Arial" w:cs="Arial"/>
                <w:noProof/>
                <w:sz w:val="18"/>
                <w:szCs w:val="20"/>
              </w:rPr>
              <w:t>57</w:t>
            </w:r>
          </w:p>
        </w:tc>
      </w:tr>
      <w:tr w:rsidR="00E732EF" w:rsidRPr="00E732EF" w:rsidTr="00E732EF">
        <w:trPr>
          <w:trHeight w:hRule="exact" w:val="249"/>
          <w:jc w:val="center"/>
        </w:trPr>
        <w:tc>
          <w:tcPr>
            <w:tcW w:w="1021" w:type="dxa"/>
            <w:tcBorders>
              <w:top w:val="single" w:sz="2"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MAKS-T</w:t>
            </w:r>
            <w:r w:rsidRPr="00E732EF">
              <w:rPr>
                <w:rFonts w:ascii="Arial" w:eastAsia="Times New Roman" w:hAnsi="Arial" w:cs="Arial"/>
                <w:b/>
                <w:noProof/>
                <w:sz w:val="18"/>
                <w:szCs w:val="20"/>
                <w:vertAlign w:val="subscript"/>
              </w:rPr>
              <w:t>50</w:t>
            </w:r>
          </w:p>
        </w:tc>
        <w:tc>
          <w:tcPr>
            <w:tcW w:w="7488" w:type="dxa"/>
            <w:gridSpan w:val="12"/>
            <w:tcBorders>
              <w:top w:val="single" w:sz="2"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p>
        </w:tc>
        <w:tc>
          <w:tcPr>
            <w:tcW w:w="737" w:type="dxa"/>
            <w:tcBorders>
              <w:top w:val="single" w:sz="2"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65</w:t>
            </w:r>
          </w:p>
        </w:tc>
      </w:tr>
    </w:tbl>
    <w:p w:rsidR="00E732EF" w:rsidRPr="00E732EF" w:rsidRDefault="00E732EF" w:rsidP="00E732EF">
      <w:pPr>
        <w:spacing w:after="0" w:line="240" w:lineRule="auto"/>
        <w:rPr>
          <w:rFonts w:ascii="Arial" w:eastAsia="Times New Roman" w:hAnsi="Arial" w:cs="Arial"/>
          <w:noProof/>
          <w:sz w:val="20"/>
          <w:szCs w:val="20"/>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color w:val="000000"/>
        </w:rPr>
        <w:t xml:space="preserve">Obzirom na uniformnost topografskih značajki Općine i Županije (male promjene u nadmorskoj </w:t>
      </w:r>
      <w:r w:rsidRPr="00E732EF">
        <w:rPr>
          <w:rFonts w:ascii="Times New Roman" w:eastAsia="Calibri" w:hAnsi="Times New Roman" w:cs="Times New Roman"/>
          <w:noProof/>
        </w:rPr>
        <w:t>visini), slične snježne prilike  na prostoru cijele Županije. Podjednako velik rizik od pojave snijega je u Županiji od prosinca do ožujka, a od maksimalnih visina novog snijega i snježnog pokrivača već od studenog. Pojava snijega u listopadu je izuzetno rijetka pojava bez zadržavanja na tlu, dok je u travnju rijetka pojava, ali s njom treba računati.</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Pravovremeno ugovoriti zimsko održavanje cesta  sa  davateljem  usluga na području Općine te sa istim sudjelovati u izradi Plana čišćenja prometnica ili izradi prioriteta čišćenja kao i u kontroli nabavke dostatnih sredstava za posipanje prometnica. </w:t>
      </w: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 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lastRenderedPageBreak/>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po procjeni općinskog načelnika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 i ugroženosti od snijega</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o funkcioniranju: sustava za vodoopskrbu, sustava za elektroopskrbu, sustava telekomunikacija,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VZ Općine sa 5 DVD-a i komunalnih operatera te drugih operativnih snaga CZ</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Javni poziv Stožera CZ pučanstvu za izvršavanje komunalnih obaveza u čišćenju snijega</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telekomunikacija i  opskrbu električnom energijom po prioritetima koje utvrdi Stožer CZ</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prometnica na području Općine sljedećim prioritetom: 1. Županijske ceste  2. Lokalne ceste</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privremene  sanacije oštećenja slijedećih  objekata</w:t>
            </w:r>
          </w:p>
        </w:tc>
      </w:tr>
      <w:tr w:rsidR="00E732EF" w:rsidRPr="00E732EF" w:rsidTr="00E732EF">
        <w:trPr>
          <w:trHeight w:val="176"/>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Pozivanje vlasnika poduzeća i obrta koji se bave takvom vrstom djelatnosti koja može izvršiti privremenu sanaciju štete</w:t>
            </w:r>
          </w:p>
        </w:tc>
      </w:tr>
      <w:tr w:rsidR="00E732EF" w:rsidRPr="00E732EF" w:rsidTr="00E732EF">
        <w:trPr>
          <w:trHeight w:val="206"/>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Povjerenstvo Općine nastavlja aktivnosti na popisu i procjeni štete sukladno Zakonu te o rezultatima izvješćuje Međimursku županiju. </w:t>
            </w:r>
          </w:p>
        </w:tc>
      </w:tr>
    </w:tbl>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t xml:space="preserve"> </w:t>
      </w:r>
    </w:p>
    <w:p w:rsidR="00E732EF" w:rsidRPr="00E732EF" w:rsidRDefault="00E732EF" w:rsidP="00E732EF">
      <w:pPr>
        <w:rPr>
          <w:rFonts w:ascii="Times New Roman" w:eastAsia="Calibri" w:hAnsi="Times New Roman" w:cs="Times New Roman"/>
          <w:b/>
          <w:bCs/>
        </w:rPr>
      </w:pPr>
      <w:r w:rsidRPr="00E732EF">
        <w:rPr>
          <w:rFonts w:ascii="Times New Roman" w:eastAsia="Calibri" w:hAnsi="Times New Roman" w:cs="Times New Roman"/>
        </w:rPr>
        <w:t xml:space="preserve">2.1.4.  </w:t>
      </w:r>
      <w:r w:rsidRPr="00E732EF">
        <w:rPr>
          <w:rFonts w:ascii="Times New Roman" w:eastAsia="Calibri" w:hAnsi="Times New Roman" w:cs="Times New Roman"/>
          <w:b/>
          <w:bCs/>
        </w:rPr>
        <w:t xml:space="preserve">POLEDICE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Pojava zaleđenih kolnika može biti uzrokovana meteorološkim pojavama ledene kiše, poledice i površinskog leda (zaleđeno i klizavo tlo). To su izvanredne meteorološke pojave koje u hladno doba godine ugrožavaju promet i ljudsko zdravlje, a u motriteljskoj praksi opažaju se i bilježe.</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Ledena kiša odnosi se na kišu sačinjenu od prehladnih kapljica koje se u doticaju s hladnim predmetima i tlom zamrzavaju, te tvore glatku ledenu koru na zemlji meteorološkog naziva poledica. Ta poledica kao meteorološka pojava se ne smije zamijeniti s površinskim ledom koji pokriva tlo te nastaje otapanjem snijega i stvaranjem ledene kore ili smrzavanjem kišnih barica. Opisane pojave vezane uz zaleđivanje kolnika u daljnjem tekstu će se nazivati zajedničkim imenom poledica.</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Samo opažanje navedenih meteoroloških pojava, ograničeno na meteorološke postaje, za potrebe procjene ugroženosti od poledice nije dovoljno. Potreban je općeniti kvantitativni kriterij izražen pomoću mjerljivih veličina koji će odrediti potencijalne uvjete za pojavu svih uzroka zaleđenih kolnika na širem području. Povoljni, odnosno potencijalni meteorološki uvjeti za stvaranje poledice pri tlu pojavljuju se u onim danima kada se javlja oborina (oborinski dani s dnevnom količinom oborine Rd ≥ 0.1 mm) i temperatura zraka je pri tlu </w:t>
      </w:r>
      <w:r w:rsidRPr="00E732EF">
        <w:rPr>
          <w:rFonts w:ascii="Times New Roman" w:eastAsia="Calibri" w:hAnsi="Times New Roman" w:cs="Times New Roman"/>
          <w:noProof/>
        </w:rPr>
        <w:sym w:font="Symbol" w:char="F0A3"/>
      </w:r>
      <w:r w:rsidRPr="00E732EF">
        <w:rPr>
          <w:rFonts w:ascii="Times New Roman" w:eastAsia="Calibri" w:hAnsi="Times New Roman" w:cs="Times New Roman"/>
          <w:noProof/>
        </w:rPr>
        <w:t xml:space="preserve"> 0 ºC odnosno na 2 m </w:t>
      </w:r>
      <w:r w:rsidRPr="00E732EF">
        <w:rPr>
          <w:rFonts w:ascii="Times New Roman" w:eastAsia="Calibri" w:hAnsi="Times New Roman" w:cs="Times New Roman"/>
          <w:noProof/>
        </w:rPr>
        <w:sym w:font="Symbol" w:char="F0A3"/>
      </w:r>
      <w:r w:rsidRPr="00E732EF">
        <w:rPr>
          <w:rFonts w:ascii="Times New Roman" w:eastAsia="Calibri" w:hAnsi="Times New Roman" w:cs="Times New Roman"/>
          <w:noProof/>
        </w:rPr>
        <w:t xml:space="preserve"> 3 ºC. Potonji kriterij dobiven je istraživanjem odnosa temperatura zraka na 2 m visine (standardna meteorološka kućica) i pri tlu (na 5 cm iznad tla) i primjenjuje se za lokacije gdje nema mjerenja temperatura zraka pri tlu. U ovoj meteorološkoj podlozi za procjenu ugroženosti analizirat će se godišnji hod broja takvih dana kao pokazatelj najugroženijih mjeseci s obzirom na pojavu poledice.</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Sinoptičke situacije pri kojima se najčešće ostvaruju povoljni uvjeti za nastanak poledice, odnosno zaleđenih kolnika, javljaju se od jeseni do proljeća. U kasnu jesen, početkom zime i u rano proljeće karakteristično je premještanje brzo pokretnih ciklonalnih i frontalnih sustava sa sjeverozapada ili jugozapada. Takvi sustavi često su praćeni naglim promjenama vremena. Pri nailasku sustava javlja se oborina i pritječe topliji zrak, a nakon prolaska sustava oborina prestaje, a temperatura se snižava. Pad temperature može dovesti do smrzavanja oborine i pojave zaleđivanja kolnika. S druge strane, u jesen i </w:t>
      </w:r>
      <w:r w:rsidRPr="00E732EF">
        <w:rPr>
          <w:rFonts w:ascii="Times New Roman" w:eastAsia="Calibri" w:hAnsi="Times New Roman" w:cs="Times New Roman"/>
          <w:noProof/>
        </w:rPr>
        <w:lastRenderedPageBreak/>
        <w:t>kasnoj zimi učestalo se javljaju stacionarni anticiklonalni tipovi vremena sa slabim strujanjem. U kontinentalnom nizinskom dijelu tada prevladava vedro ili maglovito vrijeme (često i niska slojevita naoblaka), dok je na Jadranu i u gorju sunčano i vedro. Pri anticiklonalnom tipu vremena mala je turbulentna razmjena zraka i stabilna stratifikacija atmosfere, pa se u nizinama zrak postupno ohlađuje. U slučaju da ovakva situacija nastupa nakon premještanja nekog oborinskog sustava, niske temperature tada dovode do smrzavanja prethodno pale oborine i pojave zaleđenih kolnika. Takve situacije iziskuju posebne analize i nisu obuhvaćene ovim prikazom. Stoga je učestalost poledice na cestama vjerojatno nešto veća od prikazanih rezultata.</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Za Općinu Sveti Juraj na Bregu i Međimursku županiju odabrane su meteorološka postaja Čakovec.</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Godišnji prosjek je 42 povoljna dana za poledicu, maksimalno je zabilježeno 66, 1985., a minimalno 21 dan 1983. godine.</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Tablica 4: Godišnjih hod odabranog meteorološkog parametra (Sv.Juraj na Bregu), 1995.-2005.godine</w:t>
      </w:r>
    </w:p>
    <w:tbl>
      <w:tblPr>
        <w:tblW w:w="9246" w:type="dxa"/>
        <w:jc w:val="center"/>
        <w:tblInd w:w="-8"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4"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MJESECI</w:t>
            </w:r>
          </w:p>
        </w:tc>
        <w:tc>
          <w:tcPr>
            <w:tcW w:w="624" w:type="dxa"/>
            <w:tcBorders>
              <w:top w:val="double" w:sz="4"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2</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3</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4</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5</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6</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7</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8</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9</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10</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12</w:t>
            </w:r>
          </w:p>
        </w:tc>
        <w:tc>
          <w:tcPr>
            <w:tcW w:w="737" w:type="dxa"/>
            <w:tcBorders>
              <w:top w:val="double" w:sz="4"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GOD</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jc w:val="center"/>
              <w:rPr>
                <w:rFonts w:ascii="Arial" w:eastAsia="Times New Roman" w:hAnsi="Arial" w:cs="Arial"/>
                <w:b/>
                <w:noProof/>
                <w:snapToGrid w:val="0"/>
                <w:color w:val="FF00FF"/>
                <w:sz w:val="18"/>
                <w:szCs w:val="20"/>
              </w:rPr>
            </w:pPr>
            <w:r w:rsidRPr="00E732EF">
              <w:rPr>
                <w:rFonts w:ascii="Arial" w:eastAsia="Times New Roman" w:hAnsi="Arial" w:cs="Arial"/>
                <w:b/>
                <w:noProof/>
                <w:snapToGrid w:val="0"/>
                <w:color w:val="000000"/>
                <w:sz w:val="18"/>
                <w:szCs w:val="20"/>
              </w:rPr>
              <w:t xml:space="preserve">BROJ DANA S POLEDICOM </w:t>
            </w:r>
            <w:r w:rsidRPr="00E732EF">
              <w:rPr>
                <w:rFonts w:ascii="Arial" w:eastAsia="Times New Roman" w:hAnsi="Arial" w:cs="Arial"/>
                <w:b/>
                <w:noProof/>
                <w:snapToGrid w:val="0"/>
                <w:sz w:val="18"/>
                <w:szCs w:val="20"/>
              </w:rPr>
              <w:t>(R</w:t>
            </w:r>
            <w:r w:rsidRPr="00E732EF">
              <w:rPr>
                <w:rFonts w:ascii="Arial" w:eastAsia="Times New Roman" w:hAnsi="Arial" w:cs="Arial"/>
                <w:b/>
                <w:noProof/>
                <w:snapToGrid w:val="0"/>
                <w:sz w:val="18"/>
                <w:szCs w:val="20"/>
                <w:vertAlign w:val="subscript"/>
              </w:rPr>
              <w:t>d</w:t>
            </w:r>
            <w:r w:rsidRPr="00E732EF">
              <w:rPr>
                <w:rFonts w:ascii="Arial" w:eastAsia="Times New Roman" w:hAnsi="Arial" w:cs="Arial"/>
                <w:b/>
                <w:noProof/>
                <w:snapToGrid w:val="0"/>
                <w:sz w:val="18"/>
                <w:szCs w:val="20"/>
              </w:rPr>
              <w:t>≥0.1mm i t</w:t>
            </w:r>
            <w:r w:rsidRPr="00E732EF">
              <w:rPr>
                <w:rFonts w:ascii="Arial" w:eastAsia="Times New Roman" w:hAnsi="Arial" w:cs="Arial"/>
                <w:b/>
                <w:noProof/>
                <w:snapToGrid w:val="0"/>
                <w:sz w:val="18"/>
                <w:szCs w:val="20"/>
                <w:vertAlign w:val="subscript"/>
              </w:rPr>
              <w:t>min2m</w:t>
            </w:r>
            <w:r w:rsidRPr="00E732EF">
              <w:rPr>
                <w:rFonts w:ascii="Arial" w:eastAsia="Times New Roman" w:hAnsi="Arial" w:cs="Arial"/>
                <w:b/>
                <w:noProof/>
                <w:snapToGrid w:val="0"/>
                <w:sz w:val="18"/>
                <w:szCs w:val="20"/>
              </w:rPr>
              <w:sym w:font="Symbol" w:char="00A3"/>
            </w:r>
            <w:r w:rsidRPr="00E732EF">
              <w:rPr>
                <w:rFonts w:ascii="Arial" w:eastAsia="Times New Roman" w:hAnsi="Arial" w:cs="Arial"/>
                <w:b/>
                <w:noProof/>
                <w:snapToGrid w:val="0"/>
                <w:sz w:val="18"/>
                <w:szCs w:val="20"/>
              </w:rPr>
              <w:t>3.0°C)</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6.8</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6.3</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6.7</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3.5</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0.4</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0.2</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1.6</w:t>
            </w:r>
          </w:p>
        </w:tc>
        <w:tc>
          <w:tcPr>
            <w:tcW w:w="624" w:type="dxa"/>
            <w:tcBorders>
              <w:top w:val="double" w:sz="4"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6.6</w:t>
            </w:r>
          </w:p>
        </w:tc>
        <w:tc>
          <w:tcPr>
            <w:tcW w:w="624" w:type="dxa"/>
            <w:tcBorders>
              <w:top w:val="double" w:sz="4" w:space="0" w:color="auto"/>
              <w:left w:val="nil"/>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8.9</w:t>
            </w:r>
          </w:p>
        </w:tc>
        <w:tc>
          <w:tcPr>
            <w:tcW w:w="737" w:type="dxa"/>
            <w:tcBorders>
              <w:top w:val="double" w:sz="4"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41.5</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3.5</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2.2</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0.4</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3.8</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4.9</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10.6</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single" w:sz="2"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w:t>
            </w:r>
          </w:p>
        </w:tc>
        <w:tc>
          <w:tcPr>
            <w:tcW w:w="624" w:type="dxa"/>
            <w:tcBorders>
              <w:top w:val="single" w:sz="2" w:space="0" w:color="auto"/>
              <w:left w:val="single" w:sz="6" w:space="0" w:color="auto"/>
              <w:bottom w:val="single" w:sz="2"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737" w:type="dxa"/>
            <w:tcBorders>
              <w:top w:val="single" w:sz="2" w:space="0" w:color="auto"/>
              <w:left w:val="double" w:sz="4" w:space="0" w:color="auto"/>
              <w:bottom w:val="single" w:sz="2"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21</w:t>
            </w:r>
          </w:p>
        </w:tc>
      </w:tr>
      <w:tr w:rsidR="00E732EF" w:rsidRPr="00E732EF" w:rsidTr="00E732EF">
        <w:trPr>
          <w:trHeight w:val="249"/>
          <w:jc w:val="center"/>
        </w:trPr>
        <w:tc>
          <w:tcPr>
            <w:tcW w:w="1021" w:type="dxa"/>
            <w:tcBorders>
              <w:top w:val="single" w:sz="2" w:space="0" w:color="auto"/>
              <w:left w:val="double" w:sz="6" w:space="0" w:color="auto"/>
              <w:bottom w:val="double" w:sz="4"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12</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13</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15</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8</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3</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0</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4</w:t>
            </w:r>
          </w:p>
        </w:tc>
        <w:tc>
          <w:tcPr>
            <w:tcW w:w="624" w:type="dxa"/>
            <w:tcBorders>
              <w:top w:val="single" w:sz="2" w:space="0" w:color="auto"/>
              <w:left w:val="single" w:sz="6" w:space="0" w:color="auto"/>
              <w:bottom w:val="double" w:sz="4" w:space="0" w:color="auto"/>
              <w:right w:val="sing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17</w:t>
            </w:r>
          </w:p>
        </w:tc>
        <w:tc>
          <w:tcPr>
            <w:tcW w:w="624" w:type="dxa"/>
            <w:tcBorders>
              <w:top w:val="single" w:sz="2" w:space="0" w:color="auto"/>
              <w:left w:val="single" w:sz="6" w:space="0" w:color="auto"/>
              <w:bottom w:val="double" w:sz="4" w:space="0" w:color="auto"/>
              <w:right w:val="nil"/>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18</w:t>
            </w:r>
          </w:p>
        </w:tc>
        <w:tc>
          <w:tcPr>
            <w:tcW w:w="737" w:type="dxa"/>
            <w:tcBorders>
              <w:top w:val="single" w:sz="2" w:space="0" w:color="auto"/>
              <w:left w:val="double" w:sz="4" w:space="0" w:color="auto"/>
              <w:bottom w:val="double" w:sz="4" w:space="0" w:color="auto"/>
              <w:right w:val="double" w:sz="6" w:space="0" w:color="auto"/>
            </w:tcBorders>
            <w:vAlign w:val="bottom"/>
          </w:tcPr>
          <w:p w:rsidR="00E732EF" w:rsidRPr="00E732EF" w:rsidRDefault="00E732EF" w:rsidP="00E732EF">
            <w:pPr>
              <w:spacing w:after="0" w:line="240" w:lineRule="auto"/>
              <w:jc w:val="center"/>
              <w:rPr>
                <w:rFonts w:ascii="Arial" w:eastAsia="Arial Unicode MS" w:hAnsi="Arial" w:cs="Arial"/>
                <w:noProof/>
                <w:sz w:val="18"/>
                <w:szCs w:val="18"/>
              </w:rPr>
            </w:pPr>
            <w:r w:rsidRPr="00E732EF">
              <w:rPr>
                <w:rFonts w:ascii="Arial" w:eastAsia="Times New Roman" w:hAnsi="Arial" w:cs="Arial"/>
                <w:noProof/>
                <w:sz w:val="18"/>
                <w:szCs w:val="18"/>
              </w:rPr>
              <w:t>66</w:t>
            </w:r>
          </w:p>
        </w:tc>
      </w:tr>
    </w:tbl>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Iz godišnjeg hoda broja dana s poledicom na meteorološkim postajama (tablica) u razdoblju 1981.-2000. može se zaključiti da je poledica najvjerojatnija u zimskim mjesecima prosincu, siječnju i veljači, ali i u ožujku i studenom, kada se prosječni broj povoljnih dana kreće od 6 do 9. Prosječno najviše dana (10) i najveće varijacije u broju dana povoljnih za poledicu ima prosinac. Ožujak s maksimalnim brojem od 15 zabilježenih dana s poledicom i studeni sa 17 dana prosječno gledano rizičniji su čak od veljače. U cijelom razdoblju najveći broj povoljnih dana za poledicu u jednom mjesecu zabilježen je u prosincu 2000. godine, i iznosio je 18 dana, a niti jedan dan bilježen je u prosincu i veljači. Rizik za poledicu očekuje se još u travnju sa srednjim brojem dana 4 i maksimalnim 8, te još manji u listopadu (srednji broj 2, maksimalni 4 dana). U ostalim mjesecima rizika od poledice nema.</w:t>
      </w:r>
    </w:p>
    <w:p w:rsidR="00E732EF" w:rsidRPr="00E732EF" w:rsidRDefault="00E732EF" w:rsidP="00E732EF">
      <w:pPr>
        <w:jc w:val="both"/>
        <w:rPr>
          <w:rFonts w:ascii="Times New Roman" w:eastAsia="Calibri" w:hAnsi="Times New Roman" w:cs="Times New Roman"/>
          <w:i/>
          <w:iCs/>
        </w:rPr>
      </w:pPr>
      <w:r w:rsidRPr="00E732EF">
        <w:rPr>
          <w:rFonts w:ascii="Times New Roman" w:eastAsia="Calibri" w:hAnsi="Times New Roman" w:cs="Arial"/>
          <w:noProof/>
        </w:rPr>
        <w:t>Prostorne razlike u nadmorskoj visini terena Međimurske županije su vrlo male, pa navedene klimatske karakteristike vrijede podjednako za cijelu županiju. Povećani rizik od poledice u ožujku usporediv sa zimskim mjesecima vjerojatno je posljedica najsjevernijeg položaja u Hrvatskoj i većoj izloženosti hladnim prodorima sa sjevera u proljeće.</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i/>
          <w:iCs/>
        </w:rPr>
        <w:t>Ugroženi su svi prometni pravci:</w:t>
      </w:r>
      <w:r w:rsidRPr="00E732EF">
        <w:rPr>
          <w:rFonts w:ascii="Times New Roman" w:eastAsia="Calibri" w:hAnsi="Times New Roman" w:cs="Times New Roman"/>
        </w:rPr>
        <w:t xml:space="preserve"> Ugrožene su sve prometnice na području Općine Sveti Juraj na Bregu, a posebno određeni lokalni pravci na kojima se poradi prioriteta intervencija u zimskim uvjetima ne može ili teško može spriječiti zaleđenost kolnika.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Posljedice poledica su otežano odvijanje prometa (spori dolazak žurnih službi te redovnih službi)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rsidR="00E732EF" w:rsidRPr="00E732EF" w:rsidRDefault="00E732EF" w:rsidP="00E732EF">
      <w:pPr>
        <w:spacing w:after="0"/>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rsidR="00E732EF" w:rsidRPr="00E732EF" w:rsidRDefault="00E732EF" w:rsidP="00E732EF">
      <w:pPr>
        <w:spacing w:after="0"/>
        <w:rPr>
          <w:rFonts w:ascii="Times New Roman" w:eastAsia="Calibri" w:hAnsi="Times New Roman" w:cs="Times New Roman"/>
          <w:i/>
          <w:iCs/>
        </w:rPr>
      </w:pPr>
      <w:r w:rsidRPr="00E732EF">
        <w:rPr>
          <w:rFonts w:ascii="Times New Roman" w:eastAsia="Calibri" w:hAnsi="Times New Roman" w:cs="Times New Roman"/>
          <w:i/>
          <w:iCs/>
        </w:rPr>
        <w:t xml:space="preserve"> </w:t>
      </w:r>
    </w:p>
    <w:p w:rsidR="00E732EF" w:rsidRPr="00E732EF" w:rsidRDefault="00E732EF" w:rsidP="00E732EF">
      <w:pPr>
        <w:spacing w:after="0"/>
        <w:rPr>
          <w:rFonts w:ascii="Times New Roman" w:eastAsia="Calibri" w:hAnsi="Times New Roman" w:cs="Times New Roman"/>
          <w:i/>
          <w:iCs/>
        </w:rPr>
      </w:pPr>
    </w:p>
    <w:p w:rsidR="00E732EF" w:rsidRPr="00E732EF" w:rsidRDefault="00E732EF" w:rsidP="00E732EF">
      <w:pPr>
        <w:spacing w:after="0"/>
        <w:rPr>
          <w:rFonts w:ascii="Times New Roman" w:eastAsia="Calibri" w:hAnsi="Times New Roman" w:cs="Times New Roman"/>
          <w:i/>
          <w:iCs/>
        </w:rPr>
      </w:pPr>
      <w:r w:rsidRPr="00E732EF">
        <w:rPr>
          <w:rFonts w:ascii="Times New Roman" w:eastAsia="Calibri" w:hAnsi="Times New Roman" w:cs="Times New Roman"/>
          <w:i/>
          <w:iCs/>
        </w:rPr>
        <w:lastRenderedPageBreak/>
        <w:t xml:space="preserve">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sukladno procjeni općinskog načelnika i aktivnosti žurnih službi</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 i kritičnim mjestima.</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funkcioniranju sustava: za elektroopskrbu, za telekomunikaciju, za vodoopskrbu,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komunalnih službi a iznimno i Vatrogasne zajednice Općine (5 DVD)</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Utvrđivanje redoslijeda u smislu stavljanja u potpunu funkciju prometnica na području Općine  sljedećim prioritetom: 1.Županijske ceste  2.Lokalne ceste  </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opskrbu električnom energijom, grijanjem i telekomunikacijom sljedećim prioritetom:  vodoopskrbni sustav, pošta, škole, zdravstvene ustanove, trgovine,  vatrogasni i društveni domovi, ostali korisnici</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E732EF" w:rsidRPr="00E732EF" w:rsidTr="00E732EF">
        <w:trPr>
          <w:trHeight w:val="45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Općine nastavlja aktivnosti na popisu i procjeni štete sukladno Zakonu te o rezultatima izvješćuje Međimursku županiju.</w:t>
            </w:r>
          </w:p>
        </w:tc>
      </w:tr>
    </w:tbl>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b/>
          <w:bCs/>
        </w:rPr>
      </w:pPr>
      <w:r w:rsidRPr="00E732EF">
        <w:rPr>
          <w:rFonts w:ascii="Times New Roman" w:eastAsia="Calibri" w:hAnsi="Times New Roman" w:cs="Times New Roman"/>
        </w:rPr>
        <w:t xml:space="preserve"> 2.1.5.  </w:t>
      </w:r>
      <w:r w:rsidRPr="00E732EF">
        <w:rPr>
          <w:rFonts w:ascii="Times New Roman" w:eastAsia="Calibri" w:hAnsi="Times New Roman" w:cs="Times New Roman"/>
          <w:b/>
          <w:bCs/>
        </w:rPr>
        <w:t xml:space="preserve">TUČA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Područje Općine ali i cijele Hrvatske nalazi se u umjerenim geografskim širinama gdje je pojava tuče i sugradice relativno česta. Tuča je kruta oborina sastavljena od zrna ili komada leda, promjera većeg od 5 do </w:t>
      </w:r>
      <w:smartTag w:uri="urn:schemas-microsoft-com:office:smarttags" w:element="metricconverter">
        <w:smartTagPr>
          <w:attr w:name="ProductID" w:val="50 mm"/>
        </w:smartTagPr>
        <w:r w:rsidRPr="00E732EF">
          <w:rPr>
            <w:rFonts w:ascii="Times New Roman" w:eastAsia="Calibri" w:hAnsi="Times New Roman" w:cs="Times New Roman"/>
            <w:noProof/>
          </w:rPr>
          <w:t>50 mm</w:t>
        </w:r>
      </w:smartTag>
      <w:r w:rsidRPr="00E732EF">
        <w:rPr>
          <w:rFonts w:ascii="Times New Roman" w:eastAsia="Calibri" w:hAnsi="Times New Roman" w:cs="Times New Roman"/>
          <w:noProof/>
        </w:rPr>
        <w:t xml:space="preserve"> i većeg. Elementi tuče sastavljeni su od prozirnih i neprozirnih slojeva leda. Tuča pada isključivo iz grmljavinskog oblaka Cumulonimbusa, a najčešća je u toplom dijelu godine. Sugradica je isto kruta oborina sastavljena od neprozirnih zrna smrznute vode, okruglog oblika, veličine između 2 i </w:t>
      </w:r>
      <w:smartTag w:uri="urn:schemas-microsoft-com:office:smarttags" w:element="metricconverter">
        <w:smartTagPr>
          <w:attr w:name="ProductID" w:val="5 mm"/>
        </w:smartTagPr>
        <w:r w:rsidRPr="00E732EF">
          <w:rPr>
            <w:rFonts w:ascii="Times New Roman" w:eastAsia="Calibri" w:hAnsi="Times New Roman" w:cs="Times New Roman"/>
            <w:noProof/>
          </w:rPr>
          <w:t>5 mm</w:t>
        </w:r>
      </w:smartTag>
      <w:r w:rsidRPr="00E732EF">
        <w:rPr>
          <w:rFonts w:ascii="Times New Roman" w:eastAsia="Calibri" w:hAnsi="Times New Roman" w:cs="Times New Roman"/>
          <w:noProof/>
        </w:rPr>
        <w:t xml:space="preserve">, a pada s kišnim pljuskom. Na meteorološkim postajama bilježi se uz tuču i sugradicu pojava ledenih zrna u hladnom dijelu godine. Ledena zrna su smrznute kišne kapljice ili snježne pahuljice promjera oko </w:t>
      </w:r>
      <w:smartTag w:uri="urn:schemas-microsoft-com:office:smarttags" w:element="metricconverter">
        <w:smartTagPr>
          <w:attr w:name="ProductID" w:val="5 mm"/>
        </w:smartTagPr>
        <w:r w:rsidRPr="00E732EF">
          <w:rPr>
            <w:rFonts w:ascii="Times New Roman" w:eastAsia="Calibri" w:hAnsi="Times New Roman" w:cs="Times New Roman"/>
            <w:noProof/>
          </w:rPr>
          <w:t>5 mm</w:t>
        </w:r>
      </w:smartTag>
      <w:r w:rsidRPr="00E732EF">
        <w:rPr>
          <w:rFonts w:ascii="Times New Roman" w:eastAsia="Calibri" w:hAnsi="Times New Roman" w:cs="Times New Roman"/>
          <w:noProof/>
        </w:rPr>
        <w:t xml:space="preserve">, koja padaju pri temperaturi oko ili ispod </w:t>
      </w:r>
      <w:smartTag w:uri="urn:schemas-microsoft-com:office:smarttags" w:element="metricconverter">
        <w:smartTagPr>
          <w:attr w:name="ProductID" w:val="00C"/>
        </w:smartTagPr>
        <w:r w:rsidRPr="00E732EF">
          <w:rPr>
            <w:rFonts w:ascii="Times New Roman" w:eastAsia="Calibri" w:hAnsi="Times New Roman" w:cs="Times New Roman"/>
            <w:noProof/>
          </w:rPr>
          <w:t>0</w:t>
        </w:r>
        <w:r w:rsidRPr="00E732EF">
          <w:rPr>
            <w:rFonts w:ascii="Times New Roman" w:eastAsia="Calibri" w:hAnsi="Times New Roman" w:cs="Times New Roman"/>
            <w:noProof/>
            <w:vertAlign w:val="superscript"/>
          </w:rPr>
          <w:t>0</w:t>
        </w:r>
        <w:r w:rsidRPr="00E732EF">
          <w:rPr>
            <w:rFonts w:ascii="Times New Roman" w:eastAsia="Calibri" w:hAnsi="Times New Roman" w:cs="Times New Roman"/>
            <w:noProof/>
          </w:rPr>
          <w:t>C</w:t>
        </w:r>
      </w:smartTag>
      <w:r w:rsidRPr="00E732EF">
        <w:rPr>
          <w:rFonts w:ascii="Times New Roman" w:eastAsia="Calibri" w:hAnsi="Times New Roman" w:cs="Times New Roman"/>
          <w:noProof/>
        </w:rPr>
        <w:t>.</w:t>
      </w:r>
      <w:r w:rsidRPr="00E732EF">
        <w:rPr>
          <w:rFonts w:ascii="Times New Roman" w:eastAsia="Calibri" w:hAnsi="Times New Roman" w:cs="Times New Roman"/>
          <w:noProof/>
          <w:color w:val="FF0000"/>
        </w:rPr>
        <w:t xml:space="preserve"> </w:t>
      </w:r>
      <w:r w:rsidRPr="00E732EF">
        <w:rPr>
          <w:rFonts w:ascii="Times New Roman" w:eastAsia="Calibri" w:hAnsi="Times New Roman" w:cs="Times New Roman"/>
          <w:noProof/>
        </w:rPr>
        <w:t>Pojave tuča, sugradica i ledena zrna zajedničkim imenom zovu se kruta oborina. Svojim intenzitetom nanose velike štete pokretnoj i nepokretnoj imovini kao i poljoprivredi. Da bi se zaštitile poljoprivredne površine i smanjile štete nastale od tuče, prije više od 30 godina u kontinentalnom dijelu Hrvatske osnovana je obrana od tuče. Državni hidrometeorološki zavod provodi obranu od tuče na ukupnoj površini od 24 100 km</w:t>
      </w:r>
      <w:r w:rsidRPr="00E732EF">
        <w:rPr>
          <w:rFonts w:ascii="Times New Roman" w:eastAsia="Calibri" w:hAnsi="Times New Roman" w:cs="Times New Roman"/>
          <w:noProof/>
          <w:vertAlign w:val="superscript"/>
        </w:rPr>
        <w:t>2</w:t>
      </w:r>
      <w:r w:rsidRPr="00E732EF">
        <w:rPr>
          <w:rFonts w:ascii="Times New Roman" w:eastAsia="Calibri" w:hAnsi="Times New Roman" w:cs="Times New Roman"/>
          <w:noProof/>
        </w:rPr>
        <w:t>. Sezona obrane od tuče traje od 1. svibnja do 30. rujna kada tuča može prouzročiti velike štete na poljoprivrednim  kulturama i ostaloj imovini. Operativna obrana provodi se pomoću raketa, a od 1995. i prizemnim generatorima, na osam Radarskih centara (RC). Svaki centar odgovoran je za svoj dio branjenog područja.</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lastRenderedPageBreak/>
        <w:t xml:space="preserve">Radarski centar Varaždin pokriva područje Međimurske županije na kojem se 2003. godine nalazilo 23 lansirnih postaja za obranu od tuče (slika 4). Sve postaje raspolažu sa prizemnim  generatorima, a njih 12 imaju i rakete.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Analiza srednjeg broja dana s tučom i/ili sugradicom izrađena je pomoću podataka s lansirnih postaja koje su neprekidno radile u razdoblju 1981–2000. Na slici je  prikazana i prostorna raspodjela srednjeg broja dana s pojavom tuče i/ili sugradice za vrijeme sezone obrane od tuče u 20-godišnjem razdoblju. Za Međimursku županiju analizirano je 9 lansirnih postaja koje su imale kontinuirani niz podataka s tom pojavom.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Na promatranom području u prosjeku najveći broj dana s tučom i/ili sugradicom za vrijeme sezone obrane od tuče zabilježen je na dva područja. Na sjevernom dijelu Županije to je područje oko sela Jurovčak do državne granice sa Slovenijom, a na sjeveroistočnom dijelu područje oko sela Domašinec do državne granice s Mađarskom.</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Na osnovi podataka o pojavi tuče i štete sa svih lansirnih postaja koje su radile u razdoblju 1981–2000. izrađena je prostorna karta indeksa ugroženosti od tuče branjenog područja Hrvatske za razdoblje od 1. svibnja do 30. rujna. Indeks je funkcija srednjeg broja dana s krutom oborinom i broja slučajeva sa štetom većom od 50%, a svrha mu je prikaz područja u kojima tuča i/ili sugradica najčešće uzrokuju štetu.</w:t>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Slika  4: Prostorna raspodjela srednjeg broja dana s tučom i/ili sugradicom za vrijeme sezone obrane od tuče, Međimurska županija, 1981.-2000.godine</w:t>
      </w:r>
    </w:p>
    <w:p w:rsidR="00E732EF" w:rsidRPr="00E732EF" w:rsidRDefault="00E732EF" w:rsidP="00E732EF">
      <w:pPr>
        <w:spacing w:after="0" w:line="240" w:lineRule="auto"/>
        <w:jc w:val="both"/>
        <w:rPr>
          <w:rFonts w:ascii="Times New Roman" w:eastAsia="Calibri" w:hAnsi="Times New Roman" w:cs="Times New Roman"/>
          <w:noProof/>
        </w:rPr>
      </w:pPr>
      <w:r>
        <w:rPr>
          <w:rFonts w:ascii="Times New Roman" w:eastAsia="Calibri" w:hAnsi="Times New Roman" w:cs="Times New Roman"/>
          <w:noProof/>
          <w:lang w:eastAsia="hr-HR"/>
        </w:rPr>
        <w:drawing>
          <wp:inline distT="0" distB="0" distL="0" distR="0">
            <wp:extent cx="4796155" cy="3019425"/>
            <wp:effectExtent l="0" t="0" r="4445" b="9525"/>
            <wp:docPr id="11" name="Slika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6155" cy="3019425"/>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Tablica 5: Godišnjih hod odabranog meteorološkog parametra (Sv.Juraj na Bregu), 1995.-2005.godine</w:t>
      </w:r>
    </w:p>
    <w:tbl>
      <w:tblPr>
        <w:tblW w:w="9246" w:type="dxa"/>
        <w:jc w:val="center"/>
        <w:tblInd w:w="-8"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E732EF" w:rsidRPr="00E732EF" w:rsidTr="00E732EF">
        <w:trPr>
          <w:trHeight w:hRule="exact" w:val="340"/>
          <w:jc w:val="center"/>
        </w:trPr>
        <w:tc>
          <w:tcPr>
            <w:tcW w:w="1021" w:type="dxa"/>
            <w:tcBorders>
              <w:top w:val="double" w:sz="4" w:space="0" w:color="auto"/>
              <w:left w:val="double" w:sz="6" w:space="0" w:color="auto"/>
              <w:bottom w:val="double" w:sz="6" w:space="0" w:color="auto"/>
              <w:right w:val="double" w:sz="4"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MJESECI</w:t>
            </w:r>
          </w:p>
        </w:tc>
        <w:tc>
          <w:tcPr>
            <w:tcW w:w="624" w:type="dxa"/>
            <w:tcBorders>
              <w:top w:val="double" w:sz="4" w:space="0" w:color="auto"/>
              <w:left w:val="nil"/>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2</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3</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4</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5</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6</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7</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8</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9</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10</w:t>
            </w:r>
          </w:p>
        </w:tc>
        <w:tc>
          <w:tcPr>
            <w:tcW w:w="624" w:type="dxa"/>
            <w:tcBorders>
              <w:top w:val="double" w:sz="4" w:space="0" w:color="auto"/>
              <w:left w:val="single" w:sz="6" w:space="0" w:color="auto"/>
              <w:bottom w:val="double" w:sz="6"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11</w:t>
            </w:r>
          </w:p>
        </w:tc>
        <w:tc>
          <w:tcPr>
            <w:tcW w:w="624" w:type="dxa"/>
            <w:tcBorders>
              <w:top w:val="double" w:sz="4" w:space="0" w:color="auto"/>
              <w:left w:val="nil"/>
              <w:bottom w:val="double" w:sz="6" w:space="0" w:color="auto"/>
              <w:right w:val="nil"/>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12</w:t>
            </w:r>
          </w:p>
        </w:tc>
        <w:tc>
          <w:tcPr>
            <w:tcW w:w="737" w:type="dxa"/>
            <w:tcBorders>
              <w:top w:val="double" w:sz="4" w:space="0" w:color="auto"/>
              <w:left w:val="double" w:sz="4" w:space="0" w:color="auto"/>
              <w:bottom w:val="double" w:sz="6"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b/>
                <w:noProof/>
                <w:sz w:val="18"/>
                <w:szCs w:val="20"/>
              </w:rPr>
            </w:pPr>
            <w:r w:rsidRPr="00E732EF">
              <w:rPr>
                <w:rFonts w:ascii="Arial" w:eastAsia="Times New Roman" w:hAnsi="Arial" w:cs="Arial"/>
                <w:b/>
                <w:noProof/>
                <w:sz w:val="18"/>
                <w:szCs w:val="20"/>
              </w:rPr>
              <w:t>GOD</w:t>
            </w:r>
          </w:p>
        </w:tc>
      </w:tr>
      <w:tr w:rsidR="00E732EF" w:rsidRPr="00E732EF" w:rsidTr="00E732EF">
        <w:trPr>
          <w:trHeight w:val="249"/>
          <w:jc w:val="center"/>
        </w:trPr>
        <w:tc>
          <w:tcPr>
            <w:tcW w:w="9246" w:type="dxa"/>
            <w:gridSpan w:val="14"/>
            <w:tcBorders>
              <w:top w:val="double" w:sz="4" w:space="0" w:color="auto"/>
              <w:left w:val="double" w:sz="6" w:space="0" w:color="auto"/>
              <w:bottom w:val="single" w:sz="2" w:space="0" w:color="auto"/>
              <w:right w:val="double" w:sz="6" w:space="0" w:color="auto"/>
            </w:tcBorders>
            <w:shd w:val="clear" w:color="auto" w:fill="DBE5F1"/>
            <w:vAlign w:val="center"/>
          </w:tcPr>
          <w:p w:rsidR="00E732EF" w:rsidRPr="00E732EF" w:rsidRDefault="00E732EF" w:rsidP="00E732EF">
            <w:pPr>
              <w:spacing w:after="0" w:line="240" w:lineRule="auto"/>
              <w:ind w:right="113"/>
              <w:jc w:val="center"/>
              <w:rPr>
                <w:rFonts w:ascii="Arial" w:eastAsia="Times New Roman" w:hAnsi="Arial" w:cs="Arial"/>
                <w:b/>
                <w:noProof/>
                <w:snapToGrid w:val="0"/>
                <w:color w:val="000000"/>
                <w:sz w:val="18"/>
                <w:szCs w:val="20"/>
              </w:rPr>
            </w:pPr>
            <w:r w:rsidRPr="00E732EF">
              <w:rPr>
                <w:rFonts w:ascii="Arial" w:eastAsia="Times New Roman" w:hAnsi="Arial" w:cs="Arial"/>
                <w:b/>
                <w:noProof/>
                <w:snapToGrid w:val="0"/>
                <w:color w:val="000000"/>
                <w:sz w:val="18"/>
                <w:szCs w:val="20"/>
              </w:rPr>
              <w:t>BROJ DANA S TUČOM</w:t>
            </w:r>
          </w:p>
        </w:tc>
      </w:tr>
      <w:tr w:rsidR="00E732EF" w:rsidRPr="00E732EF" w:rsidTr="00E732EF">
        <w:trPr>
          <w:trHeight w:val="249"/>
          <w:jc w:val="center"/>
        </w:trPr>
        <w:tc>
          <w:tcPr>
            <w:tcW w:w="1021" w:type="dxa"/>
            <w:tcBorders>
              <w:top w:val="double" w:sz="4"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SRED</w:t>
            </w:r>
          </w:p>
        </w:tc>
        <w:tc>
          <w:tcPr>
            <w:tcW w:w="624" w:type="dxa"/>
            <w:tcBorders>
              <w:top w:val="double" w:sz="4"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double" w:sz="4" w:space="0" w:color="auto"/>
              <w:left w:val="nil"/>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0.1</w:t>
            </w:r>
          </w:p>
        </w:tc>
        <w:tc>
          <w:tcPr>
            <w:tcW w:w="737" w:type="dxa"/>
            <w:tcBorders>
              <w:top w:val="double" w:sz="4"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0.8</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STD</w:t>
            </w:r>
          </w:p>
        </w:tc>
        <w:tc>
          <w:tcPr>
            <w:tcW w:w="624" w:type="dxa"/>
            <w:tcBorders>
              <w:top w:val="single" w:sz="2"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0.6</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0.3</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0.0</w:t>
            </w:r>
          </w:p>
        </w:tc>
        <w:tc>
          <w:tcPr>
            <w:tcW w:w="624" w:type="dxa"/>
            <w:tcBorders>
              <w:top w:val="single" w:sz="2" w:space="0" w:color="auto"/>
              <w:left w:val="single" w:sz="6" w:space="0" w:color="auto"/>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0.2</w:t>
            </w:r>
          </w:p>
        </w:tc>
        <w:tc>
          <w:tcPr>
            <w:tcW w:w="737" w:type="dxa"/>
            <w:tcBorders>
              <w:top w:val="single" w:sz="2"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1.3</w:t>
            </w:r>
          </w:p>
        </w:tc>
      </w:tr>
      <w:tr w:rsidR="00E732EF" w:rsidRPr="00E732EF" w:rsidTr="00E732EF">
        <w:trPr>
          <w:trHeight w:val="249"/>
          <w:jc w:val="center"/>
        </w:trPr>
        <w:tc>
          <w:tcPr>
            <w:tcW w:w="1021" w:type="dxa"/>
            <w:tcBorders>
              <w:top w:val="single" w:sz="2" w:space="0" w:color="auto"/>
              <w:left w:val="double" w:sz="6" w:space="0" w:color="auto"/>
              <w:bottom w:val="single" w:sz="2"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MIN</w:t>
            </w:r>
          </w:p>
        </w:tc>
        <w:tc>
          <w:tcPr>
            <w:tcW w:w="624" w:type="dxa"/>
            <w:tcBorders>
              <w:top w:val="single" w:sz="2" w:space="0" w:color="auto"/>
              <w:left w:val="nil"/>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single" w:sz="2"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737" w:type="dxa"/>
            <w:tcBorders>
              <w:top w:val="single" w:sz="2" w:space="0" w:color="auto"/>
              <w:left w:val="double" w:sz="4" w:space="0" w:color="auto"/>
              <w:bottom w:val="single" w:sz="2"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r>
      <w:tr w:rsidR="00E732EF" w:rsidRPr="00E732EF" w:rsidTr="00E732EF">
        <w:trPr>
          <w:trHeight w:val="249"/>
          <w:jc w:val="center"/>
        </w:trPr>
        <w:tc>
          <w:tcPr>
            <w:tcW w:w="1021" w:type="dxa"/>
            <w:tcBorders>
              <w:top w:val="single" w:sz="2" w:space="0" w:color="auto"/>
              <w:left w:val="double" w:sz="6" w:space="0" w:color="auto"/>
              <w:bottom w:val="double" w:sz="4" w:space="0" w:color="auto"/>
              <w:right w:val="double" w:sz="4" w:space="0" w:color="auto"/>
            </w:tcBorders>
            <w:vAlign w:val="center"/>
          </w:tcPr>
          <w:p w:rsidR="00E732EF" w:rsidRPr="00E732EF" w:rsidRDefault="00E732EF" w:rsidP="00E732EF">
            <w:pPr>
              <w:spacing w:after="0" w:line="240" w:lineRule="auto"/>
              <w:ind w:left="113"/>
              <w:rPr>
                <w:rFonts w:ascii="Arial" w:eastAsia="Times New Roman" w:hAnsi="Arial" w:cs="Arial"/>
                <w:b/>
                <w:noProof/>
                <w:sz w:val="18"/>
                <w:szCs w:val="20"/>
              </w:rPr>
            </w:pPr>
            <w:r w:rsidRPr="00E732EF">
              <w:rPr>
                <w:rFonts w:ascii="Arial" w:eastAsia="Times New Roman" w:hAnsi="Arial" w:cs="Arial"/>
                <w:b/>
                <w:noProof/>
                <w:sz w:val="18"/>
                <w:szCs w:val="20"/>
              </w:rPr>
              <w:t>MAKS</w:t>
            </w:r>
          </w:p>
        </w:tc>
        <w:tc>
          <w:tcPr>
            <w:tcW w:w="624" w:type="dxa"/>
            <w:tcBorders>
              <w:top w:val="single" w:sz="2" w:space="0" w:color="auto"/>
              <w:left w:val="nil"/>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2</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double" w:sz="4" w:space="0" w:color="auto"/>
              <w:right w:val="sing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0</w:t>
            </w:r>
          </w:p>
        </w:tc>
        <w:tc>
          <w:tcPr>
            <w:tcW w:w="624" w:type="dxa"/>
            <w:tcBorders>
              <w:top w:val="single" w:sz="2" w:space="0" w:color="auto"/>
              <w:left w:val="single" w:sz="6" w:space="0" w:color="auto"/>
              <w:bottom w:val="double" w:sz="4" w:space="0" w:color="auto"/>
              <w:right w:val="nil"/>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1</w:t>
            </w:r>
          </w:p>
        </w:tc>
        <w:tc>
          <w:tcPr>
            <w:tcW w:w="737" w:type="dxa"/>
            <w:tcBorders>
              <w:top w:val="single" w:sz="2" w:space="0" w:color="auto"/>
              <w:left w:val="double" w:sz="4" w:space="0" w:color="auto"/>
              <w:bottom w:val="double" w:sz="4" w:space="0" w:color="auto"/>
              <w:right w:val="double" w:sz="6" w:space="0" w:color="auto"/>
            </w:tcBorders>
            <w:vAlign w:val="center"/>
          </w:tcPr>
          <w:p w:rsidR="00E732EF" w:rsidRPr="00E732EF" w:rsidRDefault="00E732EF" w:rsidP="00E732EF">
            <w:pPr>
              <w:spacing w:after="0" w:line="240" w:lineRule="auto"/>
              <w:jc w:val="center"/>
              <w:rPr>
                <w:rFonts w:ascii="Arial" w:eastAsia="Times New Roman" w:hAnsi="Arial" w:cs="Arial"/>
                <w:noProof/>
                <w:snapToGrid w:val="0"/>
                <w:color w:val="000000"/>
                <w:sz w:val="18"/>
                <w:szCs w:val="20"/>
              </w:rPr>
            </w:pPr>
            <w:r w:rsidRPr="00E732EF">
              <w:rPr>
                <w:rFonts w:ascii="Arial" w:eastAsia="Times New Roman" w:hAnsi="Arial" w:cs="Arial"/>
                <w:noProof/>
                <w:snapToGrid w:val="0"/>
                <w:color w:val="000000"/>
                <w:sz w:val="18"/>
                <w:szCs w:val="20"/>
              </w:rPr>
              <w:t>5</w:t>
            </w:r>
          </w:p>
        </w:tc>
      </w:tr>
    </w:tbl>
    <w:p w:rsidR="00E732EF" w:rsidRPr="00E732EF" w:rsidRDefault="00E732EF" w:rsidP="00E732EF">
      <w:pPr>
        <w:spacing w:after="0" w:line="240" w:lineRule="auto"/>
        <w:jc w:val="both"/>
        <w:rPr>
          <w:rFonts w:ascii="Times New Roman" w:eastAsia="Calibri" w:hAnsi="Times New Roman" w:cs="Times New Roman"/>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Za prikaz godišnjeg hoda broja dana s krutom oborinom (tuča, sugradica i ledena zrna) na području ove Županije uzeti su podaci s obje meteorološke postaje. U tablici su  prikazani srednji mjesečni i godišnji broj dana s krutom oborinom te maksimalni i minimalni mjesečni i godišnji broj dana u razdoblju 1981–2000.</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Na meteorološkim postajama srednji godišnji broj dana s krutom oborinom iznosi 0.8 dana. U prosjeku najviše takvih dana javlja se u lipnju 0.3 dana dok srednji broj dana u ostalim mjesecima </w:t>
      </w:r>
      <w:r w:rsidRPr="00E732EF">
        <w:rPr>
          <w:rFonts w:ascii="Times New Roman" w:eastAsia="Calibri" w:hAnsi="Times New Roman" w:cs="Times New Roman"/>
          <w:noProof/>
        </w:rPr>
        <w:lastRenderedPageBreak/>
        <w:t>iznosi 0.1 dana. U veljači, kolovozu, listopadu i studenom nije zabilježen ni jedan dan s krutom oborinom.</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spacing w:after="0" w:line="240" w:lineRule="auto"/>
        <w:jc w:val="both"/>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 </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i/>
          <w:iCs/>
        </w:rPr>
      </w:pPr>
      <w:r w:rsidRPr="00E732EF">
        <w:rPr>
          <w:rFonts w:ascii="Times New Roman" w:eastAsia="Calibri" w:hAnsi="Times New Roman" w:cs="Times New Roman"/>
          <w:i/>
          <w:iCs/>
        </w:rPr>
        <w:t xml:space="preserve">Mjere za ublažavanje i otklanjanje izravnih posljedica prirodne nepogode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 </w:t>
      </w:r>
    </w:p>
    <w:p w:rsidR="00E732EF" w:rsidRPr="00E732EF" w:rsidRDefault="00E732EF" w:rsidP="00E732EF">
      <w:pPr>
        <w:spacing w:after="0" w:line="240" w:lineRule="auto"/>
        <w:jc w:val="both"/>
        <w:rPr>
          <w:rFonts w:ascii="Times New Roman" w:eastAsia="Calibri" w:hAnsi="Times New Roman" w:cs="Times New Roman"/>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rPr>
              <w:t xml:space="preserve"> </w:t>
            </w: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sukladno procjeni opć. načelnika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prohodnosti prometnica i štetama.</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funkcioniranju sustava: za elektroopskrbu, za telekomunikaciju,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komunalnih snaga a iznimno i VZ Općine (5 DVD-a)</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prometnica na području Općine te oštećenim objektima</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opskrbu električnom energijom i telekomunikacijom po prioritetima</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E732EF" w:rsidRPr="00E732EF" w:rsidTr="00E732EF">
        <w:trPr>
          <w:trHeight w:val="45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Povjerenstvo Općine nastavlja aktivnosti na popisu i procjeni štete sukladno Zakonu te o rezultatima izvješćuje Međimursku županiju. </w:t>
            </w:r>
          </w:p>
        </w:tc>
      </w:tr>
    </w:tbl>
    <w:p w:rsidR="00E732EF" w:rsidRPr="00E732EF" w:rsidRDefault="00E732EF" w:rsidP="00E732EF">
      <w:pPr>
        <w:rPr>
          <w:rFonts w:ascii="Times New Roman" w:eastAsia="Calibri" w:hAnsi="Times New Roman" w:cs="Times New Roman"/>
        </w:rPr>
      </w:pPr>
    </w:p>
    <w:p w:rsidR="00E732EF" w:rsidRPr="00E732EF" w:rsidRDefault="00E732EF" w:rsidP="00E732EF">
      <w:pPr>
        <w:spacing w:after="0" w:line="240" w:lineRule="auto"/>
        <w:rPr>
          <w:rFonts w:ascii="Times New Roman" w:eastAsia="Calibri" w:hAnsi="Times New Roman" w:cs="Times New Roman"/>
          <w:b/>
          <w:bCs/>
        </w:rPr>
      </w:pPr>
      <w:r w:rsidRPr="00E732EF">
        <w:rPr>
          <w:rFonts w:ascii="Times New Roman" w:eastAsia="Calibri" w:hAnsi="Times New Roman" w:cs="Times New Roman"/>
        </w:rPr>
        <w:t xml:space="preserve"> 2.1.6. </w:t>
      </w:r>
      <w:r w:rsidRPr="00E732EF">
        <w:rPr>
          <w:rFonts w:ascii="Times New Roman" w:eastAsia="Calibri" w:hAnsi="Times New Roman" w:cs="Times New Roman"/>
          <w:b/>
          <w:bCs/>
        </w:rPr>
        <w:t xml:space="preserve"> KLIZIŠTA TLA</w:t>
      </w:r>
    </w:p>
    <w:p w:rsidR="00E732EF" w:rsidRPr="00E732EF" w:rsidRDefault="00E732EF" w:rsidP="00E732EF">
      <w:pPr>
        <w:spacing w:after="0" w:line="240" w:lineRule="auto"/>
        <w:ind w:left="765"/>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Pojave klizišta pod utjecajem su geološke građe, geomorfoloških procesa, fizičkih procesa sezonskog karaktera (npr.oborina) te ljudskih aktivnosti (sječa vegetacije, način obrade tla, izgradnja cesta i drugo). Ove pojave nisu učestale za područje Općine Sveti Juraj na Bregu ali se povremeno lokalno dešavaju u periodima kišnih godina.</w:t>
      </w:r>
    </w:p>
    <w:p w:rsidR="00E732EF" w:rsidRPr="00E732EF" w:rsidRDefault="00E732EF" w:rsidP="00E732EF">
      <w:pPr>
        <w:spacing w:after="0" w:line="240" w:lineRule="auto"/>
        <w:jc w:val="both"/>
        <w:rPr>
          <w:rFonts w:ascii="Times New Roman" w:eastAsia="Calibri" w:hAnsi="Times New Roman" w:cs="Times New Roman"/>
          <w:b/>
          <w:bCs/>
          <w:noProof/>
          <w:lang w:eastAsia="hr-HR"/>
        </w:rPr>
      </w:pPr>
    </w:p>
    <w:p w:rsidR="00E732EF" w:rsidRPr="00E732EF" w:rsidRDefault="00E732EF" w:rsidP="00E732EF">
      <w:pPr>
        <w:spacing w:after="0" w:line="240" w:lineRule="auto"/>
        <w:jc w:val="both"/>
        <w:rPr>
          <w:rFonts w:ascii="Times New Roman" w:eastAsia="Calibri" w:hAnsi="Times New Roman" w:cs="Times New Roman"/>
          <w:noProof/>
          <w:lang w:eastAsia="hr-HR"/>
        </w:rPr>
      </w:pPr>
      <w:r w:rsidRPr="00E732EF">
        <w:rPr>
          <w:rFonts w:ascii="Times New Roman" w:eastAsia="Calibri" w:hAnsi="Times New Roman" w:cs="Times New Roman"/>
          <w:b/>
          <w:bCs/>
          <w:noProof/>
          <w:lang w:eastAsia="hr-HR"/>
        </w:rPr>
        <w:t>Klizište</w:t>
      </w:r>
      <w:r w:rsidRPr="00E732EF">
        <w:rPr>
          <w:rFonts w:ascii="Times New Roman" w:eastAsia="Calibri" w:hAnsi="Times New Roman" w:cs="Times New Roman"/>
          <w:noProof/>
          <w:lang w:eastAsia="hr-HR"/>
        </w:rPr>
        <w:t> je dio </w:t>
      </w:r>
      <w:hyperlink r:id="rId18" w:tooltip="Padina" w:history="1">
        <w:r w:rsidRPr="00E732EF">
          <w:rPr>
            <w:rFonts w:ascii="Times New Roman" w:eastAsia="Calibri" w:hAnsi="Times New Roman" w:cs="Times New Roman"/>
            <w:noProof/>
            <w:lang w:eastAsia="hr-HR"/>
          </w:rPr>
          <w:t>padine</w:t>
        </w:r>
      </w:hyperlink>
      <w:r w:rsidRPr="00E732EF">
        <w:rPr>
          <w:rFonts w:ascii="Times New Roman" w:eastAsia="Calibri" w:hAnsi="Times New Roman" w:cs="Times New Roman"/>
          <w:noProof/>
          <w:lang w:eastAsia="hr-HR"/>
        </w:rPr>
        <w:t> na kojem je zbog poremećaja </w:t>
      </w:r>
      <w:hyperlink r:id="rId19" w:tooltip="Stabilnost" w:history="1">
        <w:r w:rsidRPr="00E732EF">
          <w:rPr>
            <w:rFonts w:ascii="Times New Roman" w:eastAsia="Calibri" w:hAnsi="Times New Roman" w:cs="Times New Roman"/>
            <w:noProof/>
            <w:lang w:eastAsia="hr-HR"/>
          </w:rPr>
          <w:t>stabilnosti</w:t>
        </w:r>
      </w:hyperlink>
      <w:r w:rsidRPr="00E732EF">
        <w:rPr>
          <w:rFonts w:ascii="Times New Roman" w:eastAsia="Calibri" w:hAnsi="Times New Roman" w:cs="Times New Roman"/>
          <w:noProof/>
          <w:lang w:eastAsia="hr-HR"/>
        </w:rPr>
        <w:t> došlo do klizanja </w:t>
      </w:r>
      <w:hyperlink r:id="rId20" w:tooltip="Tlo" w:history="1">
        <w:r w:rsidRPr="00E732EF">
          <w:rPr>
            <w:rFonts w:ascii="Times New Roman" w:eastAsia="Calibri" w:hAnsi="Times New Roman" w:cs="Times New Roman"/>
            <w:noProof/>
            <w:lang w:eastAsia="hr-HR"/>
          </w:rPr>
          <w:t>tla</w:t>
        </w:r>
      </w:hyperlink>
      <w:r w:rsidRPr="00E732EF">
        <w:rPr>
          <w:rFonts w:ascii="Times New Roman" w:eastAsia="Calibri" w:hAnsi="Times New Roman" w:cs="Times New Roman"/>
          <w:noProof/>
          <w:lang w:eastAsia="hr-HR"/>
        </w:rPr>
        <w:t>, to jest kretanja površinskoga sloja </w:t>
      </w:r>
      <w:hyperlink r:id="rId21" w:tooltip="Tlo" w:history="1">
        <w:r w:rsidRPr="00E732EF">
          <w:rPr>
            <w:rFonts w:ascii="Times New Roman" w:eastAsia="Calibri" w:hAnsi="Times New Roman" w:cs="Times New Roman"/>
            <w:noProof/>
            <w:lang w:eastAsia="hr-HR"/>
          </w:rPr>
          <w:t>zemlje</w:t>
        </w:r>
      </w:hyperlink>
      <w:r w:rsidRPr="00E732EF">
        <w:rPr>
          <w:rFonts w:ascii="Times New Roman" w:eastAsia="Calibri" w:hAnsi="Times New Roman" w:cs="Times New Roman"/>
          <w:noProof/>
          <w:lang w:eastAsia="hr-HR"/>
        </w:rPr>
        <w:t>. Stabilnost tla ovisna je o strmini i obliku padine, geomehaničkim svojstvima tla, rasporedu </w:t>
      </w:r>
      <w:hyperlink r:id="rId22" w:tooltip="Sloj (stranica ne postoji)" w:history="1">
        <w:r w:rsidRPr="00E732EF">
          <w:rPr>
            <w:rFonts w:ascii="Times New Roman" w:eastAsia="Calibri" w:hAnsi="Times New Roman" w:cs="Times New Roman"/>
            <w:noProof/>
            <w:lang w:eastAsia="hr-HR"/>
          </w:rPr>
          <w:t>slojeva</w:t>
        </w:r>
      </w:hyperlink>
      <w:r w:rsidRPr="00E732EF">
        <w:rPr>
          <w:rFonts w:ascii="Times New Roman" w:eastAsia="Calibri" w:hAnsi="Times New Roman" w:cs="Times New Roman"/>
          <w:noProof/>
          <w:lang w:eastAsia="hr-HR"/>
        </w:rPr>
        <w:t> tla i drugom. Najčešći je uzrok klizanja tla promjena razine </w:t>
      </w:r>
      <w:hyperlink r:id="rId23" w:tooltip="Podzemne vode" w:history="1">
        <w:r w:rsidRPr="00E732EF">
          <w:rPr>
            <w:rFonts w:ascii="Times New Roman" w:eastAsia="Calibri" w:hAnsi="Times New Roman" w:cs="Times New Roman"/>
            <w:noProof/>
            <w:lang w:eastAsia="hr-HR"/>
          </w:rPr>
          <w:t>podzemnih voda</w:t>
        </w:r>
      </w:hyperlink>
      <w:r w:rsidRPr="00E732EF">
        <w:rPr>
          <w:rFonts w:ascii="Times New Roman" w:eastAsia="Calibri" w:hAnsi="Times New Roman" w:cs="Times New Roman"/>
          <w:noProof/>
          <w:lang w:eastAsia="hr-HR"/>
        </w:rPr>
        <w:t>, ali i promjena tokova površinskih voda, sezonske promjene vlažnosti i </w:t>
      </w:r>
      <w:hyperlink r:id="rId24" w:tooltip="Temperatura" w:history="1">
        <w:r w:rsidRPr="00E732EF">
          <w:rPr>
            <w:rFonts w:ascii="Times New Roman" w:eastAsia="Calibri" w:hAnsi="Times New Roman" w:cs="Times New Roman"/>
            <w:noProof/>
            <w:lang w:eastAsia="hr-HR"/>
          </w:rPr>
          <w:t>temperature</w:t>
        </w:r>
      </w:hyperlink>
      <w:r w:rsidRPr="00E732EF">
        <w:rPr>
          <w:rFonts w:ascii="Times New Roman" w:eastAsia="Calibri" w:hAnsi="Times New Roman" w:cs="Times New Roman"/>
          <w:noProof/>
          <w:lang w:eastAsia="hr-HR"/>
        </w:rPr>
        <w:t> </w:t>
      </w:r>
      <w:hyperlink r:id="rId25" w:tooltip="Zrak" w:history="1">
        <w:r w:rsidRPr="00E732EF">
          <w:rPr>
            <w:rFonts w:ascii="Times New Roman" w:eastAsia="Calibri" w:hAnsi="Times New Roman" w:cs="Times New Roman"/>
            <w:noProof/>
            <w:lang w:eastAsia="hr-HR"/>
          </w:rPr>
          <w:t>zraka</w:t>
        </w:r>
      </w:hyperlink>
      <w:r w:rsidRPr="00E732EF">
        <w:rPr>
          <w:rFonts w:ascii="Times New Roman" w:eastAsia="Calibri" w:hAnsi="Times New Roman" w:cs="Times New Roman"/>
          <w:noProof/>
          <w:lang w:eastAsia="hr-HR"/>
        </w:rPr>
        <w:t>, </w:t>
      </w:r>
      <w:hyperlink r:id="rId26" w:tooltip="Tektonika ploča" w:history="1">
        <w:r w:rsidRPr="00E732EF">
          <w:rPr>
            <w:rFonts w:ascii="Times New Roman" w:eastAsia="Calibri" w:hAnsi="Times New Roman" w:cs="Times New Roman"/>
            <w:noProof/>
            <w:lang w:eastAsia="hr-HR"/>
          </w:rPr>
          <w:t>tektonski poremećaji</w:t>
        </w:r>
      </w:hyperlink>
      <w:r w:rsidRPr="00E732EF">
        <w:rPr>
          <w:rFonts w:ascii="Times New Roman" w:eastAsia="Calibri" w:hAnsi="Times New Roman" w:cs="Times New Roman"/>
          <w:noProof/>
          <w:lang w:eastAsia="hr-HR"/>
        </w:rPr>
        <w:t> i </w:t>
      </w:r>
      <w:hyperlink r:id="rId27" w:tooltip="Potres" w:history="1">
        <w:r w:rsidRPr="00E732EF">
          <w:rPr>
            <w:rFonts w:ascii="Times New Roman" w:eastAsia="Calibri" w:hAnsi="Times New Roman" w:cs="Times New Roman"/>
            <w:noProof/>
            <w:lang w:eastAsia="hr-HR"/>
          </w:rPr>
          <w:t>potresi</w:t>
        </w:r>
      </w:hyperlink>
      <w:r w:rsidRPr="00E732EF">
        <w:rPr>
          <w:rFonts w:ascii="Times New Roman" w:eastAsia="Calibri" w:hAnsi="Times New Roman" w:cs="Times New Roman"/>
          <w:noProof/>
          <w:lang w:eastAsia="hr-HR"/>
        </w:rPr>
        <w:t>, te neprikladni zahvati na tlu, na primjer iskrčivanje </w:t>
      </w:r>
      <w:hyperlink r:id="rId28" w:tooltip="Vegetacija" w:history="1">
        <w:r w:rsidRPr="00E732EF">
          <w:rPr>
            <w:rFonts w:ascii="Times New Roman" w:eastAsia="Calibri" w:hAnsi="Times New Roman" w:cs="Times New Roman"/>
            <w:noProof/>
            <w:lang w:eastAsia="hr-HR"/>
          </w:rPr>
          <w:t>vegetacije</w:t>
        </w:r>
      </w:hyperlink>
      <w:r w:rsidRPr="00E732EF">
        <w:rPr>
          <w:rFonts w:ascii="Times New Roman" w:eastAsia="Calibri" w:hAnsi="Times New Roman" w:cs="Times New Roman"/>
          <w:noProof/>
          <w:lang w:eastAsia="hr-HR"/>
        </w:rPr>
        <w:t xml:space="preserve">, promjena režima podzemnih voda, oblika padine ili opterećenja na tlu. </w:t>
      </w:r>
    </w:p>
    <w:p w:rsidR="00E732EF" w:rsidRPr="00E732EF" w:rsidRDefault="00E732EF" w:rsidP="00E732EF">
      <w:pPr>
        <w:spacing w:after="0" w:line="240" w:lineRule="auto"/>
        <w:jc w:val="both"/>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lastRenderedPageBreak/>
        <w:t>Klizište se može javiti kako na prirodnim padinama tako i na izgrađenim pokosima. Klizanje može biti polagano (puzanje tla), ili se može dogoditi u kratkome razdoblju. Plitka klizišta najčešće nastaju u </w:t>
      </w:r>
      <w:hyperlink r:id="rId29" w:tooltip="Glina (tlo)" w:history="1">
        <w:r w:rsidRPr="00E732EF">
          <w:rPr>
            <w:rFonts w:ascii="Times New Roman" w:eastAsia="Calibri" w:hAnsi="Times New Roman" w:cs="Times New Roman"/>
            <w:noProof/>
            <w:lang w:eastAsia="hr-HR"/>
          </w:rPr>
          <w:t>glinama</w:t>
        </w:r>
      </w:hyperlink>
      <w:r w:rsidRPr="00E732EF">
        <w:rPr>
          <w:rFonts w:ascii="Times New Roman" w:eastAsia="Calibri" w:hAnsi="Times New Roman" w:cs="Times New Roman"/>
          <w:noProof/>
          <w:lang w:eastAsia="hr-HR"/>
        </w:rPr>
        <w:t> velike </w:t>
      </w:r>
      <w:hyperlink r:id="rId30" w:tooltip="Plastičnost" w:history="1">
        <w:r w:rsidRPr="00E732EF">
          <w:rPr>
            <w:rFonts w:ascii="Times New Roman" w:eastAsia="Calibri" w:hAnsi="Times New Roman" w:cs="Times New Roman"/>
            <w:noProof/>
            <w:lang w:eastAsia="hr-HR"/>
          </w:rPr>
          <w:t>plastičnosti</w:t>
        </w:r>
      </w:hyperlink>
      <w:r w:rsidRPr="00E732EF">
        <w:rPr>
          <w:rFonts w:ascii="Times New Roman" w:eastAsia="Calibri" w:hAnsi="Times New Roman" w:cs="Times New Roman"/>
          <w:noProof/>
          <w:lang w:eastAsia="hr-HR"/>
        </w:rPr>
        <w:t>.</w:t>
      </w:r>
    </w:p>
    <w:p w:rsidR="00E732EF" w:rsidRPr="00E732EF" w:rsidRDefault="00AB53E7" w:rsidP="00E732EF">
      <w:pPr>
        <w:spacing w:after="0" w:line="240" w:lineRule="auto"/>
        <w:jc w:val="both"/>
        <w:rPr>
          <w:rFonts w:ascii="Times New Roman" w:eastAsia="Calibri" w:hAnsi="Times New Roman" w:cs="Times New Roman"/>
          <w:noProof/>
          <w:lang w:eastAsia="hr-HR"/>
        </w:rPr>
      </w:pPr>
      <w:hyperlink r:id="rId31" w:tooltip="Sanacija (stranica ne postoji)" w:history="1">
        <w:r w:rsidR="00E732EF" w:rsidRPr="00E732EF">
          <w:rPr>
            <w:rFonts w:ascii="Times New Roman" w:eastAsia="Calibri" w:hAnsi="Times New Roman" w:cs="Times New Roman"/>
            <w:noProof/>
            <w:lang w:eastAsia="hr-HR"/>
          </w:rPr>
          <w:t>Sanacija</w:t>
        </w:r>
      </w:hyperlink>
      <w:r w:rsidR="00E732EF" w:rsidRPr="00E732EF">
        <w:rPr>
          <w:rFonts w:ascii="Times New Roman" w:eastAsia="Calibri" w:hAnsi="Times New Roman" w:cs="Times New Roman"/>
          <w:noProof/>
          <w:lang w:eastAsia="hr-HR"/>
        </w:rPr>
        <w:t> klizišta provodi se </w:t>
      </w:r>
      <w:hyperlink r:id="rId32" w:tooltip="Građevinarstvo" w:history="1">
        <w:r w:rsidR="00E732EF" w:rsidRPr="00E732EF">
          <w:rPr>
            <w:rFonts w:ascii="Times New Roman" w:eastAsia="Calibri" w:hAnsi="Times New Roman" w:cs="Times New Roman"/>
            <w:noProof/>
            <w:lang w:eastAsia="hr-HR"/>
          </w:rPr>
          <w:t>građevinskim</w:t>
        </w:r>
      </w:hyperlink>
      <w:r w:rsidR="00E732EF" w:rsidRPr="00E732EF">
        <w:rPr>
          <w:rFonts w:ascii="Times New Roman" w:eastAsia="Calibri" w:hAnsi="Times New Roman" w:cs="Times New Roman"/>
          <w:noProof/>
          <w:lang w:eastAsia="hr-HR"/>
        </w:rPr>
        <w:t> zahvatima, obično izvedbom drenažnoga sustava, kojim se snižava razina podzemne vode (</w:t>
      </w:r>
      <w:hyperlink r:id="rId33" w:tooltip="Drenaža (stranica ne postoji)" w:history="1">
        <w:r w:rsidR="00E732EF" w:rsidRPr="00E732EF">
          <w:rPr>
            <w:rFonts w:ascii="Times New Roman" w:eastAsia="Calibri" w:hAnsi="Times New Roman" w:cs="Times New Roman"/>
            <w:noProof/>
            <w:lang w:eastAsia="hr-HR"/>
          </w:rPr>
          <w:t>drenaža</w:t>
        </w:r>
      </w:hyperlink>
      <w:r w:rsidR="00E732EF" w:rsidRPr="00E732EF">
        <w:rPr>
          <w:rFonts w:ascii="Times New Roman" w:eastAsia="Calibri" w:hAnsi="Times New Roman" w:cs="Times New Roman"/>
          <w:noProof/>
          <w:lang w:eastAsia="hr-HR"/>
        </w:rPr>
        <w:t>), promjenom oblika padine kako bi se smanjilo opterećenje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noProof/>
          <w:lang w:eastAsia="hr-HR"/>
        </w:rPr>
        <w:t>gornjega dijela klizišta, uz povećanje opterećenja na donjem dijelu klizišta, izvedbom </w:t>
      </w:r>
      <w:hyperlink r:id="rId34" w:tooltip="Potporni zid (stranica ne postoji)" w:history="1">
        <w:r w:rsidRPr="00E732EF">
          <w:rPr>
            <w:rFonts w:ascii="Times New Roman" w:eastAsia="Calibri" w:hAnsi="Times New Roman" w:cs="Times New Roman"/>
            <w:noProof/>
            <w:lang w:eastAsia="hr-HR"/>
          </w:rPr>
          <w:t>potpornih zidova</w:t>
        </w:r>
      </w:hyperlink>
      <w:r w:rsidRPr="00E732EF">
        <w:rPr>
          <w:rFonts w:ascii="Times New Roman" w:eastAsia="Calibri" w:hAnsi="Times New Roman" w:cs="Times New Roman"/>
          <w:noProof/>
          <w:lang w:eastAsia="hr-HR"/>
        </w:rPr>
        <w:t>, sadnjom </w:t>
      </w:r>
      <w:hyperlink r:id="rId35" w:tooltip="Vegetacija" w:history="1">
        <w:r w:rsidRPr="00E732EF">
          <w:rPr>
            <w:rFonts w:ascii="Times New Roman" w:eastAsia="Calibri" w:hAnsi="Times New Roman" w:cs="Times New Roman"/>
            <w:noProof/>
            <w:lang w:eastAsia="hr-HR"/>
          </w:rPr>
          <w:t>raslinja</w:t>
        </w:r>
      </w:hyperlink>
      <w:r w:rsidRPr="00E732EF">
        <w:rPr>
          <w:rFonts w:ascii="Times New Roman" w:eastAsia="Calibri" w:hAnsi="Times New Roman" w:cs="Times New Roman"/>
          <w:noProof/>
          <w:lang w:eastAsia="hr-HR"/>
        </w:rPr>
        <w:t xml:space="preserve"> i drugim. Pojava klizišta utvrđuje se opažanjem na terenu, te mjerenjem pomaka tla tijekom duljega razdoblja.O klizištima se uobičajeno vodi računa samo u trenutku kada su ona aktivna (kao što je npr. period obilnih kiša početkom 2014. i 2015.godine) dok se u razdoblju kada „spavaju“ na njih zaboravlja.Osim prirodnih sila javljaju se i klizanja tla uslijed zahvata koje na površini terena izvodi čovjek. </w:t>
      </w:r>
      <w:r w:rsidRPr="00E732EF">
        <w:rPr>
          <w:rFonts w:ascii="Times New Roman" w:eastAsia="Calibri" w:hAnsi="Times New Roman" w:cs="Times New Roman"/>
          <w:noProof/>
        </w:rPr>
        <w:t>Današnje spoznaje o klizištima govore da su ona vrlo različita po obliku, načinu postanka, vrsti tla u kojem se pojavljuju i neposrednim povodima koji ih izazovu. Klizišta mogu biti uzrok daljnjih elementarnih nepogoda, a mogu biti i njihova posljedica.</w:t>
      </w:r>
    </w:p>
    <w:p w:rsidR="00E732EF" w:rsidRPr="00E732EF" w:rsidRDefault="00E732EF" w:rsidP="00E732EF">
      <w:pPr>
        <w:spacing w:after="0" w:line="240" w:lineRule="auto"/>
        <w:jc w:val="both"/>
        <w:rPr>
          <w:rFonts w:ascii="Times New Roman" w:eastAsia="Calibri" w:hAnsi="Times New Roman" w:cs="Times New Roman"/>
          <w:noProof/>
          <w:lang w:eastAsia="hr-HR"/>
        </w:rPr>
      </w:pPr>
    </w:p>
    <w:p w:rsidR="00E732EF" w:rsidRPr="00E732EF" w:rsidRDefault="00E732EF" w:rsidP="00E732EF">
      <w:pPr>
        <w:spacing w:after="0" w:line="240" w:lineRule="auto"/>
        <w:jc w:val="both"/>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Slike 4: Dijelovi klizišta; Puzanje tla</w:t>
      </w:r>
    </w:p>
    <w:p w:rsidR="00E732EF" w:rsidRPr="00E732EF" w:rsidRDefault="00E732EF" w:rsidP="00E732EF">
      <w:pPr>
        <w:spacing w:after="0" w:line="240" w:lineRule="auto"/>
        <w:jc w:val="both"/>
        <w:rPr>
          <w:rFonts w:ascii="Times New Roman" w:eastAsia="Calibri" w:hAnsi="Times New Roman" w:cs="Times New Roman"/>
          <w:noProof/>
          <w:lang w:eastAsia="hr-HR"/>
        </w:rPr>
      </w:pPr>
      <w:r>
        <w:rPr>
          <w:rFonts w:ascii="Times New Roman" w:eastAsia="Calibri" w:hAnsi="Times New Roman" w:cs="Times New Roman"/>
          <w:noProof/>
          <w:lang w:eastAsia="hr-HR"/>
        </w:rPr>
        <w:drawing>
          <wp:inline distT="0" distB="0" distL="0" distR="0">
            <wp:extent cx="2829560" cy="1854835"/>
            <wp:effectExtent l="0" t="0" r="889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9560" cy="1854835"/>
                    </a:xfrm>
                    <a:prstGeom prst="rect">
                      <a:avLst/>
                    </a:prstGeom>
                    <a:noFill/>
                    <a:ln>
                      <a:noFill/>
                    </a:ln>
                  </pic:spPr>
                </pic:pic>
              </a:graphicData>
            </a:graphic>
          </wp:inline>
        </w:drawing>
      </w:r>
      <w:r w:rsidRPr="00E732EF">
        <w:rPr>
          <w:rFonts w:ascii="Times New Roman" w:eastAsia="Calibri" w:hAnsi="Times New Roman" w:cs="Times New Roman"/>
          <w:noProof/>
          <w:lang w:eastAsia="hr-HR"/>
        </w:rPr>
        <w:t xml:space="preserve">  </w:t>
      </w:r>
      <w:r>
        <w:rPr>
          <w:rFonts w:ascii="Times New Roman" w:eastAsia="Calibri" w:hAnsi="Times New Roman" w:cs="Times New Roman"/>
          <w:noProof/>
          <w:lang w:eastAsia="hr-HR"/>
        </w:rPr>
        <w:drawing>
          <wp:inline distT="0" distB="0" distL="0" distR="0">
            <wp:extent cx="2673985" cy="1863090"/>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3985" cy="1863090"/>
                    </a:xfrm>
                    <a:prstGeom prst="rect">
                      <a:avLst/>
                    </a:prstGeom>
                    <a:noFill/>
                    <a:ln>
                      <a:noFill/>
                    </a:ln>
                  </pic:spPr>
                </pic:pic>
              </a:graphicData>
            </a:graphic>
          </wp:inline>
        </w:drawing>
      </w:r>
    </w:p>
    <w:p w:rsidR="00E732EF" w:rsidRPr="00E732EF" w:rsidRDefault="00E732EF" w:rsidP="00E732EF">
      <w:p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Slika 5: Karta podložnosti na klizanje tla i odrone za Hrvatsku i Općinu Sveti Juraj na Bregu</w:t>
      </w:r>
    </w:p>
    <w:p w:rsidR="00E732EF" w:rsidRPr="00E732EF" w:rsidRDefault="00E732EF" w:rsidP="00E732EF">
      <w:pPr>
        <w:spacing w:after="0" w:line="240" w:lineRule="auto"/>
        <w:rPr>
          <w:rFonts w:ascii="Times New Roman" w:eastAsia="Calibri" w:hAnsi="Times New Roman" w:cs="Times New Roman"/>
          <w:i/>
          <w:iCs/>
          <w:noProof/>
          <w:lang w:eastAsia="hr-HR"/>
        </w:rPr>
      </w:pPr>
      <w:r>
        <w:rPr>
          <w:rFonts w:ascii="Times New Roman" w:eastAsia="Calibri" w:hAnsi="Times New Roman" w:cs="Times New Roman"/>
          <w:i/>
          <w:iCs/>
          <w:noProof/>
          <w:lang w:eastAsia="hr-HR"/>
        </w:rPr>
        <w:drawing>
          <wp:inline distT="0" distB="0" distL="0" distR="0">
            <wp:extent cx="3597275" cy="3295015"/>
            <wp:effectExtent l="0" t="0" r="3175" b="635"/>
            <wp:docPr id="8" name="Slika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7275" cy="3295015"/>
                    </a:xfrm>
                    <a:prstGeom prst="rect">
                      <a:avLst/>
                    </a:prstGeom>
                    <a:noFill/>
                    <a:ln>
                      <a:noFill/>
                    </a:ln>
                  </pic:spPr>
                </pic:pic>
              </a:graphicData>
            </a:graphic>
          </wp:inline>
        </w:drawing>
      </w: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jc w:val="both"/>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lastRenderedPageBreak/>
        <w:t>Tablica 6: Uzroci, štete i posljedice klizanja tla</w:t>
      </w: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135"/>
        <w:gridCol w:w="2760"/>
      </w:tblGrid>
      <w:tr w:rsidR="00E732EF" w:rsidRPr="00E732EF" w:rsidTr="00E732EF">
        <w:trPr>
          <w:trHeight w:val="196"/>
        </w:trPr>
        <w:tc>
          <w:tcPr>
            <w:tcW w:w="8730" w:type="dxa"/>
            <w:gridSpan w:val="3"/>
            <w:shd w:val="clear" w:color="auto" w:fill="FFC000"/>
          </w:tcPr>
          <w:p w:rsidR="00E732EF" w:rsidRPr="00E732EF" w:rsidRDefault="00E732EF" w:rsidP="00E732EF">
            <w:pPr>
              <w:spacing w:after="0" w:line="240" w:lineRule="auto"/>
              <w:jc w:val="center"/>
              <w:rPr>
                <w:rFonts w:ascii="Times New Roman" w:eastAsia="Calibri" w:hAnsi="Times New Roman" w:cs="Times New Roman"/>
                <w:b/>
                <w:bCs/>
                <w:noProof/>
                <w:lang w:eastAsia="hr-HR"/>
              </w:rPr>
            </w:pPr>
            <w:r w:rsidRPr="00E732EF">
              <w:rPr>
                <w:rFonts w:ascii="Times New Roman" w:eastAsia="Calibri" w:hAnsi="Times New Roman" w:cs="Times New Roman"/>
                <w:b/>
                <w:bCs/>
                <w:noProof/>
                <w:lang w:eastAsia="hr-HR"/>
              </w:rPr>
              <w:t>KLIZANJE  TLA</w:t>
            </w:r>
          </w:p>
        </w:tc>
      </w:tr>
      <w:tr w:rsidR="00E732EF" w:rsidRPr="00E732EF" w:rsidTr="00E732EF">
        <w:trPr>
          <w:trHeight w:val="270"/>
        </w:trPr>
        <w:tc>
          <w:tcPr>
            <w:tcW w:w="2835" w:type="dxa"/>
            <w:shd w:val="clear" w:color="auto" w:fill="FFC000"/>
          </w:tcPr>
          <w:p w:rsidR="00E732EF" w:rsidRPr="00E732EF" w:rsidRDefault="00E732EF" w:rsidP="00E732EF">
            <w:pPr>
              <w:spacing w:after="0" w:line="240" w:lineRule="auto"/>
              <w:jc w:val="center"/>
              <w:rPr>
                <w:rFonts w:ascii="Times New Roman" w:eastAsia="Calibri" w:hAnsi="Times New Roman" w:cs="Times New Roman"/>
                <w:b/>
                <w:bCs/>
                <w:noProof/>
                <w:sz w:val="20"/>
                <w:szCs w:val="20"/>
                <w:lang w:eastAsia="hr-HR"/>
              </w:rPr>
            </w:pPr>
            <w:r w:rsidRPr="00E732EF">
              <w:rPr>
                <w:rFonts w:ascii="Times New Roman" w:eastAsia="Calibri" w:hAnsi="Times New Roman" w:cs="Times New Roman"/>
                <w:b/>
                <w:bCs/>
                <w:noProof/>
                <w:sz w:val="20"/>
                <w:szCs w:val="20"/>
                <w:lang w:eastAsia="hr-HR"/>
              </w:rPr>
              <w:t>Uzroci</w:t>
            </w:r>
          </w:p>
        </w:tc>
        <w:tc>
          <w:tcPr>
            <w:tcW w:w="3135" w:type="dxa"/>
            <w:shd w:val="clear" w:color="auto" w:fill="FFC000"/>
          </w:tcPr>
          <w:p w:rsidR="00E732EF" w:rsidRPr="00E732EF" w:rsidRDefault="00E732EF" w:rsidP="00E732EF">
            <w:pPr>
              <w:spacing w:after="0" w:line="240" w:lineRule="auto"/>
              <w:jc w:val="center"/>
              <w:rPr>
                <w:rFonts w:ascii="Times New Roman" w:eastAsia="Calibri" w:hAnsi="Times New Roman" w:cs="Times New Roman"/>
                <w:b/>
                <w:bCs/>
                <w:noProof/>
                <w:sz w:val="20"/>
                <w:szCs w:val="20"/>
                <w:lang w:eastAsia="hr-HR"/>
              </w:rPr>
            </w:pPr>
            <w:r w:rsidRPr="00E732EF">
              <w:rPr>
                <w:rFonts w:ascii="Times New Roman" w:eastAsia="Calibri" w:hAnsi="Times New Roman" w:cs="Times New Roman"/>
                <w:b/>
                <w:bCs/>
                <w:noProof/>
                <w:sz w:val="20"/>
                <w:szCs w:val="20"/>
                <w:lang w:eastAsia="hr-HR"/>
              </w:rPr>
              <w:t>Oštećenja od klizanja na klizištu</w:t>
            </w:r>
          </w:p>
        </w:tc>
        <w:tc>
          <w:tcPr>
            <w:tcW w:w="2760" w:type="dxa"/>
            <w:shd w:val="clear" w:color="auto" w:fill="FFC000"/>
          </w:tcPr>
          <w:p w:rsidR="00E732EF" w:rsidRPr="00E732EF" w:rsidRDefault="00E732EF" w:rsidP="00E732EF">
            <w:pPr>
              <w:spacing w:after="0" w:line="240" w:lineRule="auto"/>
              <w:jc w:val="center"/>
              <w:rPr>
                <w:rFonts w:ascii="Times New Roman" w:eastAsia="Calibri" w:hAnsi="Times New Roman" w:cs="Times New Roman"/>
                <w:b/>
                <w:bCs/>
                <w:noProof/>
                <w:sz w:val="20"/>
                <w:szCs w:val="20"/>
                <w:lang w:eastAsia="hr-HR"/>
              </w:rPr>
            </w:pPr>
            <w:r w:rsidRPr="00E732EF">
              <w:rPr>
                <w:rFonts w:ascii="Times New Roman" w:eastAsia="Calibri" w:hAnsi="Times New Roman" w:cs="Times New Roman"/>
                <w:b/>
                <w:bCs/>
                <w:noProof/>
                <w:sz w:val="20"/>
                <w:szCs w:val="20"/>
                <w:lang w:eastAsia="hr-HR"/>
              </w:rPr>
              <w:t>Posljedice</w:t>
            </w:r>
          </w:p>
        </w:tc>
      </w:tr>
      <w:tr w:rsidR="00E732EF" w:rsidRPr="00E732EF" w:rsidTr="00E732EF">
        <w:trPr>
          <w:trHeight w:val="2973"/>
        </w:trPr>
        <w:tc>
          <w:tcPr>
            <w:tcW w:w="2835" w:type="dxa"/>
          </w:tcPr>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Obilne oborine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Potres</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Produbljenje korita vodotoka s potkopavanjem nožice kosine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Vulkanske erupcije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Puknuće cjevovoda (vodovoda) na vrhu padine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Poremećaj razine podzemne vode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Izgradnja građevina na potencijalnom klizištu (naročito na gornjoj polovini)</w:t>
            </w:r>
          </w:p>
          <w:p w:rsidR="00E732EF" w:rsidRPr="00E732EF" w:rsidRDefault="00E732EF" w:rsidP="00E732EF">
            <w:pPr>
              <w:spacing w:after="0" w:line="240" w:lineRule="auto"/>
              <w:jc w:val="center"/>
              <w:rPr>
                <w:rFonts w:ascii="Times New Roman" w:eastAsia="Calibri" w:hAnsi="Times New Roman" w:cs="Times New Roman"/>
                <w:noProof/>
                <w:lang w:eastAsia="hr-HR"/>
              </w:rPr>
            </w:pPr>
            <w:r w:rsidRPr="00E732EF">
              <w:rPr>
                <w:rFonts w:ascii="Times New Roman" w:eastAsia="Calibri" w:hAnsi="Times New Roman" w:cs="Times New Roman"/>
                <w:noProof/>
                <w:sz w:val="20"/>
                <w:szCs w:val="20"/>
                <w:lang w:eastAsia="hr-HR"/>
              </w:rPr>
              <w:t>Zasijecanje u kosinu</w:t>
            </w:r>
          </w:p>
        </w:tc>
        <w:tc>
          <w:tcPr>
            <w:tcW w:w="3135" w:type="dxa"/>
          </w:tcPr>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Srušeni objekti i zgrade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Otklizali objekti i zgrade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Uništeni cjevovodi raznih namjena</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Otklizale prometnice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Pregrađene prometnice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Pregrađeni vodotoci</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Uništeni dalekovodi i slična infrastruktura</w:t>
            </w:r>
          </w:p>
          <w:p w:rsidR="00E732EF" w:rsidRPr="00E732EF" w:rsidRDefault="00E732EF" w:rsidP="00E732EF">
            <w:pPr>
              <w:spacing w:after="0" w:line="240" w:lineRule="auto"/>
              <w:jc w:val="center"/>
              <w:rPr>
                <w:rFonts w:ascii="Times New Roman" w:eastAsia="Calibri" w:hAnsi="Times New Roman" w:cs="Times New Roman"/>
                <w:noProof/>
                <w:lang w:eastAsia="hr-HR"/>
              </w:rPr>
            </w:pPr>
            <w:r w:rsidRPr="00E732EF">
              <w:rPr>
                <w:rFonts w:ascii="Times New Roman" w:eastAsia="Calibri" w:hAnsi="Times New Roman" w:cs="Times New Roman"/>
                <w:noProof/>
                <w:sz w:val="20"/>
                <w:szCs w:val="20"/>
                <w:lang w:eastAsia="hr-HR"/>
              </w:rPr>
              <w:t>Uništena vegetacija</w:t>
            </w:r>
          </w:p>
          <w:p w:rsidR="00E732EF" w:rsidRPr="00E732EF" w:rsidRDefault="00E732EF" w:rsidP="00E732EF">
            <w:pPr>
              <w:spacing w:after="0" w:line="240" w:lineRule="auto"/>
              <w:rPr>
                <w:rFonts w:ascii="Times New Roman" w:eastAsia="Calibri" w:hAnsi="Times New Roman" w:cs="Times New Roman"/>
                <w:noProof/>
                <w:lang w:eastAsia="hr-HR"/>
              </w:rPr>
            </w:pPr>
          </w:p>
        </w:tc>
        <w:tc>
          <w:tcPr>
            <w:tcW w:w="2760" w:type="dxa"/>
          </w:tcPr>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Potres</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Cunami</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Pregradnja vodotoka</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Poplave uzvodno od pregrade</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Poplave nizvodno od pregrade nakon njenog rušenja</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Premještanje korita potoka i rijeka</w:t>
            </w:r>
          </w:p>
          <w:p w:rsidR="00E732EF" w:rsidRPr="00E732EF" w:rsidRDefault="00E732EF" w:rsidP="00E732EF">
            <w:pPr>
              <w:spacing w:after="0" w:line="240" w:lineRule="auto"/>
              <w:jc w:val="center"/>
              <w:rPr>
                <w:rFonts w:ascii="Times New Roman" w:eastAsia="Calibri" w:hAnsi="Times New Roman" w:cs="Times New Roman"/>
                <w:noProof/>
                <w:sz w:val="20"/>
                <w:szCs w:val="20"/>
                <w:lang w:eastAsia="hr-HR"/>
              </w:rPr>
            </w:pPr>
            <w:r w:rsidRPr="00E732EF">
              <w:rPr>
                <w:rFonts w:ascii="Times New Roman" w:eastAsia="Calibri" w:hAnsi="Times New Roman" w:cs="Times New Roman"/>
                <w:noProof/>
                <w:sz w:val="20"/>
                <w:szCs w:val="20"/>
                <w:lang w:eastAsia="hr-HR"/>
              </w:rPr>
              <w:t>Stvaranje novog područja potencijalnog klizišta</w:t>
            </w:r>
          </w:p>
          <w:p w:rsidR="00E732EF" w:rsidRPr="00E732EF" w:rsidRDefault="00E732EF" w:rsidP="00E732EF">
            <w:pPr>
              <w:spacing w:after="0" w:line="240" w:lineRule="auto"/>
              <w:jc w:val="center"/>
              <w:rPr>
                <w:rFonts w:ascii="Times New Roman" w:eastAsia="Calibri" w:hAnsi="Times New Roman" w:cs="Times New Roman"/>
                <w:noProof/>
                <w:lang w:eastAsia="hr-HR"/>
              </w:rPr>
            </w:pPr>
            <w:r w:rsidRPr="00E732EF">
              <w:rPr>
                <w:rFonts w:ascii="Times New Roman" w:eastAsia="Calibri" w:hAnsi="Times New Roman" w:cs="Times New Roman"/>
                <w:noProof/>
                <w:sz w:val="20"/>
                <w:szCs w:val="20"/>
                <w:lang w:eastAsia="hr-HR"/>
              </w:rPr>
              <w:t>Promjena reljefa</w:t>
            </w:r>
          </w:p>
          <w:p w:rsidR="00E732EF" w:rsidRPr="00E732EF" w:rsidRDefault="00E732EF" w:rsidP="00E732EF">
            <w:pPr>
              <w:spacing w:after="0" w:line="240" w:lineRule="auto"/>
              <w:rPr>
                <w:rFonts w:ascii="Times New Roman" w:eastAsia="Calibri" w:hAnsi="Times New Roman" w:cs="Times New Roman"/>
                <w:noProof/>
                <w:lang w:eastAsia="hr-HR"/>
              </w:rPr>
            </w:pPr>
          </w:p>
        </w:tc>
      </w:tr>
    </w:tbl>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r w:rsidRPr="00E732EF">
        <w:rPr>
          <w:rFonts w:ascii="Times New Roman" w:eastAsia="Calibri" w:hAnsi="Times New Roman" w:cs="Times New Roman"/>
          <w:i/>
          <w:iCs/>
          <w:noProof/>
          <w:lang w:eastAsia="hr-HR"/>
        </w:rPr>
        <w:t>Kratkoročne mjere kod pojavnosti klizišta:</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blokada balvanima</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drenaža tla za odvod vode iz zemlje koja se postavlja u dubinu ili na površinu, ili kanali za odvodnju</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stabilizacija tla uz pomoć ježeva</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kod manjih odrona pomažu i zečji nasipi od vreća pijeska</w:t>
      </w:r>
    </w:p>
    <w:p w:rsidR="00E732EF" w:rsidRPr="00E732EF" w:rsidRDefault="00E732EF" w:rsidP="00E732EF">
      <w:pPr>
        <w:numPr>
          <w:ilvl w:val="0"/>
          <w:numId w:val="15"/>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prekrivanje površina pod kišom vodootpornim ceradama i PVC folijom da bi se spriječilo dalje natapanje tla vodom</w:t>
      </w:r>
    </w:p>
    <w:p w:rsidR="00E732EF" w:rsidRPr="00E732EF" w:rsidRDefault="00E732EF" w:rsidP="00E732EF">
      <w:pPr>
        <w:spacing w:after="0" w:line="240" w:lineRule="auto"/>
        <w:rPr>
          <w:rFonts w:ascii="Times New Roman" w:eastAsia="Calibri" w:hAnsi="Times New Roman" w:cs="Times New Roman"/>
          <w:i/>
          <w:iCs/>
          <w:noProof/>
          <w:lang w:eastAsia="hr-HR"/>
        </w:rPr>
      </w:pPr>
    </w:p>
    <w:p w:rsidR="00E732EF" w:rsidRPr="00E732EF" w:rsidRDefault="00E732EF" w:rsidP="00E732EF">
      <w:pPr>
        <w:spacing w:after="0" w:line="240" w:lineRule="auto"/>
        <w:rPr>
          <w:rFonts w:ascii="Times New Roman" w:eastAsia="Calibri" w:hAnsi="Times New Roman" w:cs="Times New Roman"/>
          <w:i/>
          <w:iCs/>
          <w:noProof/>
          <w:lang w:eastAsia="hr-HR"/>
        </w:rPr>
      </w:pPr>
      <w:r w:rsidRPr="00E732EF">
        <w:rPr>
          <w:rFonts w:ascii="Times New Roman" w:eastAsia="Calibri" w:hAnsi="Times New Roman" w:cs="Times New Roman"/>
          <w:i/>
          <w:iCs/>
          <w:noProof/>
          <w:lang w:eastAsia="hr-HR"/>
        </w:rPr>
        <w:t>Dugoročne mjere:</w:t>
      </w:r>
    </w:p>
    <w:p w:rsidR="00E732EF" w:rsidRPr="00E732EF" w:rsidRDefault="00E732EF" w:rsidP="00E732EF">
      <w:pPr>
        <w:numPr>
          <w:ilvl w:val="0"/>
          <w:numId w:val="16"/>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zaštitni zidovi (armirani beton)</w:t>
      </w:r>
    </w:p>
    <w:p w:rsidR="00E732EF" w:rsidRPr="00E732EF" w:rsidRDefault="00E732EF" w:rsidP="00E732EF">
      <w:pPr>
        <w:numPr>
          <w:ilvl w:val="0"/>
          <w:numId w:val="16"/>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pošumljavanje jer korijenje drveća stabilizira tlo</w:t>
      </w:r>
    </w:p>
    <w:p w:rsidR="00E732EF" w:rsidRPr="00E732EF" w:rsidRDefault="00E732EF" w:rsidP="00E732EF">
      <w:pPr>
        <w:numPr>
          <w:ilvl w:val="0"/>
          <w:numId w:val="16"/>
        </w:numPr>
        <w:spacing w:after="0" w:line="240" w:lineRule="auto"/>
        <w:rPr>
          <w:rFonts w:ascii="Times New Roman" w:eastAsia="Calibri" w:hAnsi="Times New Roman" w:cs="Times New Roman"/>
          <w:noProof/>
          <w:lang w:eastAsia="hr-HR"/>
        </w:rPr>
      </w:pPr>
      <w:r w:rsidRPr="00E732EF">
        <w:rPr>
          <w:rFonts w:ascii="Times New Roman" w:eastAsia="Calibri" w:hAnsi="Times New Roman" w:cs="Times New Roman"/>
          <w:noProof/>
          <w:lang w:eastAsia="hr-HR"/>
        </w:rPr>
        <w:t>smanjenje nagiba putem sanacije terena</w:t>
      </w:r>
    </w:p>
    <w:p w:rsidR="00E732EF" w:rsidRPr="00E732EF" w:rsidRDefault="00E732EF" w:rsidP="00E732EF">
      <w:pPr>
        <w:spacing w:after="0" w:line="240" w:lineRule="auto"/>
        <w:jc w:val="both"/>
        <w:rPr>
          <w:rFonts w:ascii="Times New Roman" w:eastAsia="Calibri" w:hAnsi="Times New Roman" w:cs="Times New Roman"/>
          <w:noProof/>
          <w:lang w:eastAsia="hr-HR"/>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i/>
          <w:iCs/>
          <w:noProof/>
        </w:rPr>
        <w:t>Procjena opasnosti od klizanja</w:t>
      </w:r>
      <w:r w:rsidRPr="00E732EF">
        <w:rPr>
          <w:rFonts w:ascii="Times New Roman" w:eastAsia="Calibri" w:hAnsi="Times New Roman" w:cs="Times New Roman"/>
          <w:noProof/>
        </w:rPr>
        <w:t xml:space="preserve"> u domeni je geoznanosti, a konačni rezultati procjena opasnosti su informacije za širok spektar korisnika, najčešće iz domene lokalne, regionalne i nacionalne uprave. Ove informacije osnova su za primjenu cijelog niza mjera za ublažavanje posljedica. Opasnost od klizanja procjenjuje se na osnovi istraživanja klizišta koje provode inženjerski geolozi i geotehničari. Nekoliko je razloga zbog kojih se provode istraživanja klizišta, a moguće ih je grupirati u četiri skupine opisane u nastavku. </w:t>
      </w:r>
    </w:p>
    <w:p w:rsidR="00E732EF" w:rsidRPr="00E732EF" w:rsidRDefault="00E732EF" w:rsidP="00E732EF">
      <w:pPr>
        <w:spacing w:after="0" w:line="240" w:lineRule="auto"/>
        <w:jc w:val="both"/>
        <w:rPr>
          <w:rFonts w:ascii="Times New Roman" w:eastAsia="Calibri" w:hAnsi="Times New Roman" w:cs="Times New Roman"/>
          <w:i/>
          <w:iCs/>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b/>
          <w:bCs/>
          <w:i/>
          <w:iCs/>
          <w:noProof/>
        </w:rPr>
        <w:t>Ukoliko je klizište već nastalo</w:t>
      </w:r>
      <w:r w:rsidRPr="00E732EF">
        <w:rPr>
          <w:rFonts w:ascii="Times New Roman" w:eastAsia="Calibri" w:hAnsi="Times New Roman" w:cs="Times New Roman"/>
          <w:noProof/>
        </w:rPr>
        <w:t xml:space="preserve"> i ukoliko je nužno poduzeti mjere da se zaustavi pokrenuti proces klizanja i/ili da se zemljište osposobi za daljnje korištenje, postojeće klizište će se detaljno istraživati u svrhu projektiranja mjera sanacije. Rezultat detaljnog geotehničkog istraživanja pojedinog klizišta je prognostički model klizišta na temelju kojega se provode analize stabilnosti čime se definira područje koje ono ugrožava, kao i način da se potpuno ukloni opasnost koju ono predstavlja za ljude i materijalna dobra. Uobičajeni prikaz informacija daje se u okviru geotehničkog elaborata klizišta i građevinskih projekata mjera sanacije.</w:t>
      </w:r>
    </w:p>
    <w:p w:rsidR="00E732EF" w:rsidRPr="00E732EF" w:rsidRDefault="00E732EF" w:rsidP="00E732EF">
      <w:pPr>
        <w:spacing w:after="0" w:line="240" w:lineRule="auto"/>
        <w:jc w:val="both"/>
        <w:rPr>
          <w:rFonts w:ascii="Times New Roman" w:eastAsia="Calibri" w:hAnsi="Times New Roman" w:cs="Times New Roman"/>
          <w:b/>
          <w:bCs/>
          <w:i/>
          <w:iCs/>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b/>
          <w:bCs/>
          <w:i/>
          <w:iCs/>
          <w:noProof/>
        </w:rPr>
        <w:t>Na područjima gdje postoje klizišta, ali ne predstavljaju opasnost za ljude i materijalna</w:t>
      </w:r>
      <w:r w:rsidRPr="00E732EF">
        <w:rPr>
          <w:rFonts w:ascii="Times New Roman" w:eastAsia="Calibri" w:hAnsi="Times New Roman" w:cs="Times New Roman"/>
          <w:i/>
          <w:iCs/>
          <w:noProof/>
        </w:rPr>
        <w:t xml:space="preserve"> </w:t>
      </w:r>
      <w:r w:rsidRPr="00E732EF">
        <w:rPr>
          <w:rFonts w:ascii="Times New Roman" w:eastAsia="Calibri" w:hAnsi="Times New Roman" w:cs="Times New Roman"/>
          <w:b/>
          <w:bCs/>
          <w:i/>
          <w:iCs/>
          <w:noProof/>
        </w:rPr>
        <w:t>dobra</w:t>
      </w:r>
      <w:r w:rsidRPr="00E732EF">
        <w:rPr>
          <w:rFonts w:ascii="Times New Roman" w:eastAsia="Calibri" w:hAnsi="Times New Roman" w:cs="Times New Roman"/>
          <w:b/>
          <w:bCs/>
          <w:noProof/>
        </w:rPr>
        <w:t xml:space="preserve"> </w:t>
      </w:r>
      <w:r w:rsidRPr="00E732EF">
        <w:rPr>
          <w:rFonts w:ascii="Times New Roman" w:eastAsia="Calibri" w:hAnsi="Times New Roman" w:cs="Times New Roman"/>
          <w:noProof/>
        </w:rPr>
        <w:t xml:space="preserve">(npr. nalaze se u šumi) ili na područjima koja su potencijalno opasna za nastanak novih klizišta, nužno je provoditi daljinska istraživanja radi prevencije nastanka potencijalnih klizišta. Mjere prevencije provode se kroz sustav prostornog planiranja, na način Upravljanje kriznim situacijama uslijed pokretanja klizišta da se u fazama izrade prostornih planova ovakva područja izostave iz namjena kao što je građevinska namjena. U tu svrhu nužno je izraditi karte postojećih klizišta, kao i prognozne karte opasnosti i ugroženosti od klizanja. </w:t>
      </w:r>
    </w:p>
    <w:p w:rsidR="00E732EF" w:rsidRPr="00E732EF" w:rsidRDefault="00E732EF" w:rsidP="00E732EF">
      <w:pPr>
        <w:spacing w:after="0" w:line="240" w:lineRule="auto"/>
        <w:jc w:val="both"/>
        <w:rPr>
          <w:rFonts w:ascii="Times New Roman" w:eastAsia="Calibri" w:hAnsi="Times New Roman" w:cs="Times New Roman"/>
          <w:b/>
          <w:bCs/>
          <w:i/>
          <w:iCs/>
          <w:noProof/>
        </w:rPr>
      </w:pP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b/>
          <w:bCs/>
          <w:i/>
          <w:iCs/>
          <w:noProof/>
        </w:rPr>
        <w:t>Karte opasnosti od klizanja</w:t>
      </w:r>
      <w:r w:rsidRPr="00E732EF">
        <w:rPr>
          <w:rFonts w:ascii="Times New Roman" w:eastAsia="Calibri" w:hAnsi="Times New Roman" w:cs="Times New Roman"/>
          <w:noProof/>
        </w:rPr>
        <w:t xml:space="preserve"> (karte hazarda klizanja) nastaju kao rezultat prostornih analiza, a izrađuju ih stručnjaci iz inženjerske geologije i geomorfologije korištenjem različitih metoda, prilagođeno </w:t>
      </w:r>
      <w:r w:rsidRPr="00E732EF">
        <w:rPr>
          <w:rFonts w:ascii="Times New Roman" w:eastAsia="Calibri" w:hAnsi="Times New Roman" w:cs="Times New Roman"/>
          <w:noProof/>
        </w:rPr>
        <w:lastRenderedPageBreak/>
        <w:t xml:space="preserve">specifičnostima područja. Karte klizišta i prognozne karte sadrže informacije na temelju kojih se definiraju mjere za ublažavanje posljedica klizanja kroz sustav prostornog planiranja, odnosno odgovarajuće planiranje namjene zemljišta i definiranje uvjeta građenja. </w:t>
      </w:r>
    </w:p>
    <w:p w:rsidR="00E732EF" w:rsidRPr="00E732EF" w:rsidRDefault="00E732EF" w:rsidP="00E732EF">
      <w:pPr>
        <w:spacing w:after="0" w:line="240" w:lineRule="auto"/>
        <w:jc w:val="both"/>
        <w:rPr>
          <w:rFonts w:ascii="Times New Roman" w:eastAsia="Calibri" w:hAnsi="Times New Roman" w:cs="Times New Roman"/>
          <w:noProof/>
        </w:rPr>
      </w:pPr>
      <w:r w:rsidRPr="00E732EF">
        <w:rPr>
          <w:rFonts w:ascii="Times New Roman" w:eastAsia="Calibri" w:hAnsi="Times New Roman" w:cs="Times New Roman"/>
          <w:noProof/>
        </w:rPr>
        <w:t xml:space="preserve">Na područjima u kojima postoje klizišta, ali ih nije moguće sanirati i predstavljaju opasnost za ljude i materijalna dobra, nužno je provoditi istraživanja i praćenja (engl. monitoring) radi prevencije potencijalnih šteta koje će prouzročiti daljnje kretanje klizišta. </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Preventivne mjere radi umanjenja posljedica prirodne nepogode  </w:t>
      </w:r>
    </w:p>
    <w:p w:rsidR="00E732EF" w:rsidRPr="00E732EF" w:rsidRDefault="00E732EF" w:rsidP="00E732EF">
      <w:pPr>
        <w:spacing w:after="0" w:line="240" w:lineRule="auto"/>
        <w:jc w:val="both"/>
        <w:rPr>
          <w:rFonts w:ascii="Times New Roman" w:eastAsia="Calibri" w:hAnsi="Times New Roman" w:cs="Times New Roman"/>
          <w:b/>
          <w:bCs/>
          <w:noProof/>
          <w:sz w:val="24"/>
          <w:szCs w:val="24"/>
        </w:rPr>
      </w:pPr>
      <w:r w:rsidRPr="00E732EF">
        <w:rPr>
          <w:rFonts w:ascii="Times New Roman" w:eastAsia="Calibri" w:hAnsi="Times New Roman" w:cs="Times New Roman"/>
          <w:b/>
          <w:bCs/>
          <w:i/>
          <w:iCs/>
          <w:noProof/>
        </w:rPr>
        <w:t>Mjere prevencije</w:t>
      </w:r>
      <w:r w:rsidRPr="00E732EF">
        <w:rPr>
          <w:rFonts w:ascii="Times New Roman" w:eastAsia="Calibri" w:hAnsi="Times New Roman" w:cs="Times New Roman"/>
          <w:noProof/>
        </w:rPr>
        <w:t xml:space="preserve"> provode se kroz sustav civilne zaštite, na način da se uvede sustav praćenja i ranog upozoravanja određenog klizišta. U tu svrhu nužno je detaljno istražiti klizište geotehničkim metodama istraživanja, izraditi prognostički model klizišta za simulacije njegova kretanja te na temelju analiza izraditi koncept sustava praćenja klizišta i ranog upozoravanja. Uobičajeni prikaz informacija ovog sustava je u vidu digitalnih zapisa, koje je nužno kontinuirano pratiti u realnom vremenu iz on-line centara podatka, a na temelju kojih će se aktivirati uzbunjivanje u slučaju prekoračenja zadanih kritičnih vrijednosti. Mjere za ublažavanje posljedica u ovom slučaju su interventne mjere upozoravanja i evakuacije ljudi. Procjena opasnosti od klizanja također je uobičajena i za osiguranje od šteta koje uzrokuju klizišta. U ovom slučaju informacije se prikazuju na kartama klizišta i prognostičkim kartama opasnosti od klizanja u vidu zona za koje je moguće dati informaciju o visini relativne opasnosti. Na temelju ove informacije definiraju se premije osiguranja za nadoknade u slučaju gubitaka, što je također jedan od načina ublažavanja posljedica klizanja.</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i/>
          <w:iCs/>
        </w:rPr>
      </w:pPr>
      <w:r w:rsidRPr="00E732EF">
        <w:rPr>
          <w:rFonts w:ascii="Times New Roman" w:eastAsia="Calibri" w:hAnsi="Times New Roman" w:cs="Times New Roman"/>
          <w:i/>
          <w:iCs/>
        </w:rPr>
        <w:t xml:space="preserve">Mjere za ublažavanje i otklanjanje izravnih posljedica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klizanja tla.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5"/>
        <w:gridCol w:w="8010"/>
      </w:tblGrid>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rPr>
              <w:t xml:space="preserve"> </w:t>
            </w:r>
            <w:r w:rsidRPr="00E732EF">
              <w:rPr>
                <w:rFonts w:ascii="Times New Roman" w:eastAsia="Calibri" w:hAnsi="Times New Roman" w:cs="Times New Roman"/>
                <w:b/>
                <w:bCs/>
              </w:rPr>
              <w:t>R/br.</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ind w:left="-23"/>
              <w:jc w:val="center"/>
              <w:rPr>
                <w:rFonts w:ascii="Times New Roman" w:eastAsia="Calibri" w:hAnsi="Times New Roman" w:cs="Times New Roman"/>
                <w:b/>
                <w:bCs/>
              </w:rPr>
            </w:pPr>
            <w:r w:rsidRPr="00E732EF">
              <w:rPr>
                <w:rFonts w:ascii="Times New Roman" w:eastAsia="Calibri" w:hAnsi="Times New Roman" w:cs="Times New Roman"/>
                <w:b/>
                <w:bCs/>
              </w:rPr>
              <w:t>MJERE – radnje i postupci</w:t>
            </w:r>
          </w:p>
        </w:tc>
      </w:tr>
      <w:tr w:rsidR="00E732EF" w:rsidRPr="00E732EF" w:rsidTr="00E732EF">
        <w:trPr>
          <w:trHeight w:val="42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Izvještavanje župana Međimurske županije i predlaganje aktiviranja Povjerenstva za procjenu štete od elementarnih nepogoda na ugroženim područjima.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2.</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Povjerenstvo nastavlja aktivnosti na popisu i procjeni štete sukladno Zakona o ublažavanju i uklanjanju posljedica prirodnih nepogoda (NN 16/19) i Pravilniku o registru šteta od prirodnih nepogoda (NN 65/19)</w:t>
            </w:r>
          </w:p>
        </w:tc>
      </w:tr>
      <w:tr w:rsidR="00E732EF" w:rsidRPr="00E732EF" w:rsidTr="00E732EF">
        <w:trPr>
          <w:trHeight w:val="31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3.</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Stožera CZ Općine Sveti Juraj na Bregu – sukladno procjeni opć. načelnika</w:t>
            </w:r>
          </w:p>
        </w:tc>
      </w:tr>
      <w:tr w:rsidR="00E732EF" w:rsidRPr="00E732EF" w:rsidTr="00E732EF">
        <w:trPr>
          <w:trHeight w:val="37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4.</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stanju prometnica i ugroženim područjima naselja Općine.</w:t>
            </w:r>
          </w:p>
        </w:tc>
      </w:tr>
      <w:tr w:rsidR="00E732EF" w:rsidRPr="00E732EF" w:rsidTr="00E732EF">
        <w:trPr>
          <w:trHeight w:val="28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5.</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Prikupljanje informacija o funkcioniranju sustava: za elektroopskrbu, za telekomunikaciju, za vodoopskrbu, o stanju društvenih i stambenih objekata na prostoru.</w:t>
            </w:r>
          </w:p>
        </w:tc>
      </w:tr>
      <w:tr w:rsidR="00E732EF" w:rsidRPr="00E732EF" w:rsidTr="00E732EF">
        <w:trPr>
          <w:trHeight w:val="36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6.</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Aktiviranje  komunalnih službi a po potrebi i VZ Općine te potrebnih pravnih osoba Općine kao i Povjerenika CZ</w:t>
            </w:r>
          </w:p>
        </w:tc>
      </w:tr>
      <w:tr w:rsidR="00E732EF" w:rsidRPr="00E732EF" w:rsidTr="00E732EF">
        <w:trPr>
          <w:trHeight w:val="255"/>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7.</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ugroženih objekata</w:t>
            </w:r>
          </w:p>
        </w:tc>
      </w:tr>
      <w:tr w:rsidR="00E732EF" w:rsidRPr="00E732EF" w:rsidTr="00E732EF">
        <w:trPr>
          <w:trHeight w:val="18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8.</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Utvrđivanje redoslijeda u smislu stavljanja u potpunu funkciju opskrbu električnom energijom i telekomunikacijama po prioritetima</w:t>
            </w:r>
          </w:p>
        </w:tc>
      </w:tr>
      <w:tr w:rsidR="00E732EF" w:rsidRPr="00E732EF" w:rsidTr="00E732EF">
        <w:trPr>
          <w:trHeight w:val="30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9.</w:t>
            </w:r>
          </w:p>
        </w:tc>
        <w:tc>
          <w:tcPr>
            <w:tcW w:w="8010" w:type="dxa"/>
            <w:tcBorders>
              <w:top w:val="single" w:sz="4" w:space="0" w:color="BFBFBF"/>
              <w:left w:val="single" w:sz="4" w:space="0" w:color="BFBFBF"/>
              <w:bottom w:val="single" w:sz="4" w:space="0" w:color="BFBFBF"/>
              <w:right w:val="single" w:sz="4" w:space="0" w:color="BFBFBF"/>
            </w:tcBorders>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E732EF" w:rsidRPr="00E732EF" w:rsidTr="00E732EF">
        <w:trPr>
          <w:trHeight w:val="450"/>
        </w:trPr>
        <w:tc>
          <w:tcPr>
            <w:tcW w:w="1005"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10.</w:t>
            </w:r>
          </w:p>
        </w:tc>
        <w:tc>
          <w:tcPr>
            <w:tcW w:w="8010" w:type="dxa"/>
            <w:tcBorders>
              <w:top w:val="single" w:sz="4" w:space="0" w:color="BFBFBF"/>
              <w:left w:val="single" w:sz="4" w:space="0" w:color="BFBFBF"/>
              <w:bottom w:val="single" w:sz="4" w:space="0" w:color="BFBFBF"/>
              <w:right w:val="single" w:sz="4" w:space="0" w:color="BFBFBF"/>
            </w:tcBorders>
            <w:shd w:val="clear" w:color="auto" w:fill="F2F2F2"/>
            <w:hideMark/>
          </w:tcPr>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Povjerenstvo Općine nastavlja aktivnosti na popisu i procjeni štete sukladno Zakonu te o rezultatima izvješćuje Međimursku županiju. </w:t>
            </w:r>
          </w:p>
        </w:tc>
      </w:tr>
    </w:tbl>
    <w:p w:rsidR="00E732EF" w:rsidRPr="00E732EF" w:rsidRDefault="00E732EF" w:rsidP="00E732EF">
      <w:pPr>
        <w:rPr>
          <w:rFonts w:ascii="Times New Roman" w:eastAsia="Calibri" w:hAnsi="Times New Roman" w:cs="Times New Roman"/>
        </w:rPr>
      </w:pPr>
    </w:p>
    <w:p w:rsidR="00E732EF" w:rsidRPr="00E732EF" w:rsidRDefault="00E732EF" w:rsidP="00E732EF">
      <w:pPr>
        <w:rPr>
          <w:rFonts w:ascii="Times New Roman" w:eastAsia="Calibri" w:hAnsi="Times New Roman" w:cs="Times New Roman"/>
        </w:rPr>
      </w:pPr>
      <w:r w:rsidRPr="00E732EF">
        <w:rPr>
          <w:rFonts w:ascii="Times New Roman" w:eastAsia="Calibri" w:hAnsi="Times New Roman" w:cs="Times New Roman"/>
        </w:rPr>
        <w:lastRenderedPageBreak/>
        <w:t xml:space="preserve">2.2. NOSITELJI MJERA PO PRIRODNIM NEPOGODAMA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Pod mjerama se smatraju sva djelovanja od strane JLS (Općina Sveti Juraj na Bregu) vezana uz sanaciju nastalih šteta, ovisno o naravi, odnosno vrsti prirodne nepogode koja je izgledna za određeno područje, odnosno o posljedicama istih. Mjere mogu biti preventivne, u cilju umanjenja posljedica prirodne nepogode, te mjere u cilju ublažavanja i otklanjanja izravnih posljedica prirodne nepogode.  </w:t>
      </w:r>
    </w:p>
    <w:p w:rsidR="00E732EF" w:rsidRPr="00E732EF" w:rsidRDefault="00E732EF" w:rsidP="00E732EF">
      <w:pPr>
        <w:jc w:val="both"/>
        <w:rPr>
          <w:rFonts w:ascii="Times New Roman" w:eastAsia="Calibri" w:hAnsi="Times New Roman" w:cs="Times New Roman"/>
          <w:i/>
          <w:iCs/>
        </w:rPr>
      </w:pPr>
      <w:r w:rsidRPr="00E732EF">
        <w:rPr>
          <w:rFonts w:ascii="Times New Roman" w:eastAsia="Calibri" w:hAnsi="Times New Roman" w:cs="Times New Roman"/>
          <w:i/>
          <w:iCs/>
        </w:rPr>
        <w:t xml:space="preserve">Opće mjere za ublažavanje i uklanjanje izravnih posljedica prirodnih nepogoda jesu: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procjena štete i posljedica,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sanacija područja zahvaćenog nepogodom,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prikupljanje i raspodjela pomoći stradalom i ugroženom stanovništvu,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provedba zdravstvenih i higijensko – epidemioloških mjera,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provedba veterinarskih mjera, </w:t>
      </w:r>
    </w:p>
    <w:p w:rsidR="00E732EF" w:rsidRPr="00E732EF" w:rsidRDefault="00E732EF" w:rsidP="00E732EF">
      <w:pPr>
        <w:numPr>
          <w:ilvl w:val="1"/>
          <w:numId w:val="15"/>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organizacija prometa i komunalnih usluga radi žurne normalizacije života. </w:t>
      </w:r>
    </w:p>
    <w:p w:rsidR="00E732EF" w:rsidRPr="00E732EF" w:rsidRDefault="00E732EF" w:rsidP="00E732EF">
      <w:pPr>
        <w:spacing w:after="0" w:line="240" w:lineRule="auto"/>
        <w:rPr>
          <w:rFonts w:ascii="Calibri" w:eastAsia="Calibri" w:hAnsi="Calibri" w:cs="Times New Roman"/>
          <w:lang w:val="en-US"/>
        </w:rPr>
      </w:pP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U slučaju prirodne nepogode nositelji mjera su operativne snage sustava civilne zaštite, sustav zdravstvenih kapaciteta te MUP koji su detaljno obrađeni u prilozima unutar Plana djelovanja civilne zaštite Općine Sveti Juraj na Bregu.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Prilikom provedbi mjera radi djelomičnog ublažavanja šteta od prirodnih nepogoda o kojima odlučuju nadležna tijela, navedena u članku 5. Zakona, obvezno se u obzir uzima opseg nastalih šteta i utjecaj prirodnih nepogoda na stradanja stanovništva, ugrozu života i zdravlja ljudi te onemogućavanje nesmetanog funkcioniranja gospodarstva. U cilju pravovremenog i učinkovitog ublažavanja i uklanjanja izravnih posljedica i procjena štete od ekstremnih prirodnih uvjeta u pravilu se obavlja odmah ili u najkraćem roku.</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Nositelji mjera za ublažavanje te otklanjanje izravnih posljedica prirodnih nepogoda su operativne snage sustava civilne zaštite Općine koje su definirane Zakonom o sustavu civilne zaštite („Narodne novine“ broj 82/15.) i Planom djelovanja CZ Općine Sveti Juraj na Bregu:</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Stožer civilne zaštite Općine Sveti Juraj na Bregu </w:t>
      </w:r>
      <w:r w:rsidRPr="00E732EF">
        <w:rPr>
          <w:rFonts w:ascii="Times New Roman" w:eastAsia="Calibri" w:hAnsi="Times New Roman" w:cs="Times New Roman"/>
          <w:b/>
          <w:bCs/>
        </w:rPr>
        <w:t>+ Općinsko povjerenstvo</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VZ Općine (sa 5 DVD-a)</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Gradsko društvo Crvenog križa  Čakovec </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HGSS- Stanica Čakovec  </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Komunalna poduzeća  kontaktnog područja </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Povjerenici civilne zaštite i njihovi zamjenici </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Koordinatori na lokaciji</w:t>
      </w:r>
    </w:p>
    <w:p w:rsidR="00E732EF" w:rsidRPr="00E732EF" w:rsidRDefault="00E732EF" w:rsidP="00E732EF">
      <w:pPr>
        <w:numPr>
          <w:ilvl w:val="0"/>
          <w:numId w:val="8"/>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Pravne osobe i udruge od interesa za sustav civilne zaštite Općine Sveti Juraj na Bregu određene Odlukom Općine. </w:t>
      </w:r>
    </w:p>
    <w:p w:rsidR="00E732EF" w:rsidRPr="00E732EF" w:rsidRDefault="00E732EF" w:rsidP="00E732EF">
      <w:pPr>
        <w:spacing w:after="0" w:line="240" w:lineRule="auto"/>
        <w:ind w:firstLine="45"/>
        <w:rPr>
          <w:rFonts w:ascii="Calibri" w:eastAsia="Calibri" w:hAnsi="Calibri" w:cs="Arial"/>
        </w:rPr>
      </w:pPr>
    </w:p>
    <w:p w:rsidR="00E732EF" w:rsidRPr="00E732EF" w:rsidRDefault="00E732EF" w:rsidP="00E732EF">
      <w:p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Pored Operativnih snaga sustava CZ kao nositelji određenih mjera u ugrozama pojavit će se i: </w:t>
      </w:r>
    </w:p>
    <w:p w:rsidR="00E732EF" w:rsidRPr="00E732EF" w:rsidRDefault="00E732EF" w:rsidP="00E732EF">
      <w:pPr>
        <w:numPr>
          <w:ilvl w:val="0"/>
          <w:numId w:val="10"/>
        </w:numPr>
        <w:spacing w:after="0" w:line="240" w:lineRule="auto"/>
        <w:rPr>
          <w:rFonts w:ascii="Times New Roman" w:eastAsia="Calibri" w:hAnsi="Times New Roman" w:cs="Times New Roman"/>
        </w:rPr>
      </w:pPr>
      <w:r w:rsidRPr="00E732EF">
        <w:rPr>
          <w:rFonts w:ascii="Times New Roman" w:eastAsia="Calibri" w:hAnsi="Times New Roman" w:cs="Times New Roman"/>
        </w:rPr>
        <w:t>Centar za socijalnu skrb Čakovec</w:t>
      </w:r>
    </w:p>
    <w:p w:rsidR="00E732EF" w:rsidRPr="00E732EF" w:rsidRDefault="00E732EF" w:rsidP="00E732EF">
      <w:pPr>
        <w:numPr>
          <w:ilvl w:val="0"/>
          <w:numId w:val="10"/>
        </w:numPr>
        <w:spacing w:after="0" w:line="240" w:lineRule="auto"/>
        <w:rPr>
          <w:rFonts w:ascii="Times New Roman" w:eastAsia="Calibri" w:hAnsi="Times New Roman" w:cs="Times New Roman"/>
        </w:rPr>
      </w:pPr>
      <w:r w:rsidRPr="00E732EF">
        <w:rPr>
          <w:rFonts w:ascii="Times New Roman" w:eastAsia="Calibri" w:hAnsi="Times New Roman" w:cs="Times New Roman"/>
        </w:rPr>
        <w:t>Zavod za hitnu medicinu  MŽ, te ambulante u Općini i Domu zdravlja Čakovec</w:t>
      </w:r>
    </w:p>
    <w:p w:rsidR="00E732EF" w:rsidRPr="00E732EF" w:rsidRDefault="00E732EF" w:rsidP="00E732EF">
      <w:pPr>
        <w:numPr>
          <w:ilvl w:val="0"/>
          <w:numId w:val="10"/>
        </w:numPr>
        <w:spacing w:after="0" w:line="240" w:lineRule="auto"/>
        <w:rPr>
          <w:rFonts w:ascii="Times New Roman" w:eastAsia="Calibri" w:hAnsi="Times New Roman" w:cs="Times New Roman"/>
        </w:rPr>
      </w:pPr>
      <w:r w:rsidRPr="00E732EF">
        <w:rPr>
          <w:rFonts w:ascii="Times New Roman" w:eastAsia="Calibri" w:hAnsi="Times New Roman" w:cs="Times New Roman"/>
        </w:rPr>
        <w:t xml:space="preserve">Hrvatske vode –VGI </w:t>
      </w:r>
      <w:proofErr w:type="spellStart"/>
      <w:r w:rsidRPr="00E732EF">
        <w:rPr>
          <w:rFonts w:ascii="Times New Roman" w:eastAsia="Calibri" w:hAnsi="Times New Roman" w:cs="Times New Roman"/>
        </w:rPr>
        <w:t>Trnava</w:t>
      </w:r>
      <w:proofErr w:type="spellEnd"/>
    </w:p>
    <w:p w:rsidR="00E732EF" w:rsidRPr="00E732EF" w:rsidRDefault="00E732EF" w:rsidP="00E732EF">
      <w:pPr>
        <w:numPr>
          <w:ilvl w:val="0"/>
          <w:numId w:val="10"/>
        </w:numPr>
        <w:spacing w:after="0" w:line="240" w:lineRule="auto"/>
        <w:rPr>
          <w:rFonts w:ascii="Times New Roman" w:eastAsia="Calibri" w:hAnsi="Times New Roman" w:cs="Times New Roman"/>
        </w:rPr>
      </w:pPr>
      <w:r w:rsidRPr="00E732EF">
        <w:rPr>
          <w:rFonts w:ascii="Times New Roman" w:eastAsia="Calibri" w:hAnsi="Times New Roman" w:cs="Times New Roman"/>
        </w:rPr>
        <w:t>HEP-interventne službe HEP ODS d.o.o. Elektra Čakovec</w:t>
      </w:r>
    </w:p>
    <w:p w:rsidR="00E732EF" w:rsidRPr="00E732EF" w:rsidRDefault="00E732EF" w:rsidP="00E732EF">
      <w:pPr>
        <w:numPr>
          <w:ilvl w:val="0"/>
          <w:numId w:val="10"/>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HŠ UŠP; ŽUC MŽ,  Zavod za javno zdravstvo MŽ i drugi. </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Sve navedene snage koristit će se u provođenju mjera kod svih elementarnih nepogoda ovisno o potrebama za istima. </w:t>
      </w:r>
    </w:p>
    <w:p w:rsidR="00E732EF" w:rsidRPr="00E732EF" w:rsidRDefault="00E732EF" w:rsidP="00E732EF">
      <w:pPr>
        <w:jc w:val="both"/>
        <w:rPr>
          <w:rFonts w:ascii="Times New Roman" w:eastAsia="Calibri" w:hAnsi="Times New Roman" w:cs="Times New Roman"/>
          <w:b/>
          <w:bCs/>
        </w:rPr>
      </w:pPr>
      <w:r w:rsidRPr="00E732EF">
        <w:rPr>
          <w:rFonts w:ascii="Times New Roman" w:eastAsia="Calibri" w:hAnsi="Times New Roman" w:cs="Times New Roman"/>
          <w:b/>
          <w:bCs/>
        </w:rPr>
        <w:lastRenderedPageBreak/>
        <w:t xml:space="preserve">  3. PROCJENA OSIGURANJA OPREME I DRUGIH SREDSTAVA ZA ZAŠTITU I SPRJEČAVANJE STRADANJA IMOVINE, GOSPODARSKIH FUNKCIJA I STRADANJA STANOVNIŠTVA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Općina Sveti Juraj na Bregu svake godine izdvaja iz svog proračuna financijska sredstva za financiranje razvoja sustava civilne zaštite, žurne službe i operativne snage, HGSS-a, Gradskog društva Crvenog križa te na službe i pravne osobe od značaja za sustav civilne zaštite. Sukladno članku 56. Zakona o proračunu („Narodne novine“, br. 87/08., 136/12. i 15/15.)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Općina Sveti Juraj na Bregu izradila je Procjenu rizika od velikih nesreća (2017. i Revizija 2020.godine) u kojoj je provedena analiza sustava civilne zaštite Općine. Procjena ukupne spremnosti sustava civilne zaštite Općine Sveti Juraj na Bregu u području provođenje preventivnih mjera i aktivnosti usmjerenih na zaštitu svih kategorija društvenih vrijednosti koje su potencijalno izložene štetnim utjecajima velikih nesreća je visoka. Ujedno, spremnost odgovornih i upravljačkih kapaciteta procjenjuje se visokom. Spremnost sustava civilne zaštite na temelju izrađenosti sektorskih strategija, normativne uređenosti te izrađenosti procjena i planova od značaja za sustav civilne zaštite uzimajući u obzir sve izrađene dokumente iz navedene kategorije, njihovu međusobnu povezanost i usklađenost te na temelju procjene implementiranosti ciljeva strategija u javne politike upravljanja rizicima na lokalnoj razini te do koje mjere su korišteni za potrebe definiranja sastava i strukture operativnih kapaciteta kao i za potrebe izrade planova djelovanja civilne zaštite procjenjuje se visokom.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Nadalje, spremnost sustava civilne zaštite na temelju razvijenosti ranog upozoravanja, razmjene informacija i njihovog korištenja za podizanje spremnosti sustava civilne zaštite kroz pripreme za provođenje mjera i aktivnosti u svrhu smanjivanja posljedica neposrednih i nastupajućih prijetnji također se procjenjuje visokom. Spremnost sustava civilne zaštite na temelju ocjena fiskalne situacije i njezine perspektive posebno za prenamjenu dijela sredstava koja se koriste za reagiranje za potrebe financiranja provođenja preventivnih mjera procjenjuje se visokom. Zaključno iako je u području preventive procijenjena visoka spremnost cjelovitog sustava civilne zaštite za upravljanje rizicima od velikih nesreća, Općina Sveti Juraj na Bregu će i dalje nastaviti raditi na kontinuiranom osposobljavanju snaga civilne zaštite, educiranju stanovništva o mogućim opasnostima od prirodnih rizika te provođenjem vježbi kako bi svi sudionici civilne zaštite bili upoznati sa svojim aktivnostima u slučaju mogućih rizika na području Općine. U Planu djelovanja sustava civilne zaštite Općine utvrđen je način organizacije, aktiviranja i djelovanja sustava civilne zaštite, zadaća i nadležnosti, ljudskih snaga i potrebnih materijalno-tehničkih sredstava te mjera i postupaka za provedbu civilne zaštite u slučaju određenih rizika.</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t xml:space="preserve">Temeljem tumačenja Zakona o ublažavanju i uklanjanju posljedica prirodnih nepogoda dobivenog od Ministarstva financija KLASA:422-02/19-01/27  URBROJ:513-06-02-19-5 od 26. veljače 2019. godine, pod pojmom procjena osiguranja opreme i drugih sredstava za zaštitu i sprječavanje stradanja imovine, gospodarskih funkcija i stradanja stanovništva (čl.17. stavak 2. točka 2.) podrazumijeva se procjena opreme i drugih sredstava nužnih za sanaciju, djelomično otklanjanje i ublažavanje štete nastale uslijed djelovanja prirodne nepogode. </w:t>
      </w:r>
    </w:p>
    <w:p w:rsidR="00E732EF" w:rsidRPr="00E732EF" w:rsidRDefault="00E732EF" w:rsidP="00E732EF">
      <w:pPr>
        <w:jc w:val="both"/>
        <w:rPr>
          <w:rFonts w:ascii="Times New Roman" w:eastAsia="Calibri" w:hAnsi="Times New Roman" w:cs="Times New Roman"/>
        </w:rPr>
      </w:pPr>
      <w:r w:rsidRPr="00E732EF">
        <w:rPr>
          <w:rFonts w:ascii="Times New Roman" w:eastAsia="Calibri" w:hAnsi="Times New Roman" w:cs="Times New Roman"/>
        </w:rPr>
        <w:lastRenderedPageBreak/>
        <w:t xml:space="preserve">Općina Sveti Juraj na Bregu ne raspolaže vlastitom opremom ni sredstvima za zaštitu i sprečavanje stradanja imovine, gospodarskih funkcija i stradanja stanovništva. Opremom i sredstvima raspolažu subjekti koji su navedeni kao nositelji mjera za otklanjanje izravnih posljedica prirodnih nepogoda. Gospodarski subjekti koji raspolažu opremom, za izvođenje potrebnih radnji u slučaju sanacije,  u okviru svoje redovne djelatnosti odrađuju preventivne mjere za smanjenje šteta pri nastajanju elementarne nepogode. </w:t>
      </w:r>
    </w:p>
    <w:p w:rsidR="00E732EF" w:rsidRPr="00E732EF" w:rsidRDefault="00E732EF" w:rsidP="00E732EF">
      <w:pPr>
        <w:jc w:val="both"/>
        <w:rPr>
          <w:rFonts w:ascii="Times New Roman" w:eastAsia="Calibri" w:hAnsi="Times New Roman" w:cs="Times New Roman"/>
          <w:b/>
          <w:bCs/>
        </w:rPr>
      </w:pPr>
      <w:r w:rsidRPr="00E732EF">
        <w:rPr>
          <w:rFonts w:ascii="Times New Roman" w:eastAsia="Calibri" w:hAnsi="Times New Roman" w:cs="Times New Roman"/>
          <w:b/>
          <w:bCs/>
        </w:rPr>
        <w:t>4. OSTALE MJERE KOJE UKLJUČUJU SURADNJU S NADLEŽNIM TIJELIMA  (ŽUPANIJA, MINISTARSTVO, STRUČNJAKA ZA PODRUČJE PRIRODNIH NEPOGODA)</w:t>
      </w:r>
    </w:p>
    <w:p w:rsidR="00E732EF" w:rsidRPr="00E732EF" w:rsidRDefault="00E732EF" w:rsidP="00E732EF">
      <w:pPr>
        <w:spacing w:after="0"/>
        <w:jc w:val="both"/>
        <w:rPr>
          <w:rFonts w:ascii="Times New Roman" w:eastAsia="Calibri" w:hAnsi="Times New Roman" w:cs="Times New Roman"/>
        </w:rPr>
      </w:pPr>
      <w:r w:rsidRPr="00E732EF">
        <w:rPr>
          <w:rFonts w:ascii="Times New Roman" w:eastAsia="Calibri" w:hAnsi="Times New Roman" w:cs="Times New Roman"/>
        </w:rPr>
        <w:t>Sukladno propisima kojima se uređuju pitanja u vezi elementarnih mjera kao mjera sanacije šteta od prirodnih nepogoda utvrđuje se:</w:t>
      </w:r>
    </w:p>
    <w:p w:rsidR="00E732EF" w:rsidRPr="00E732EF" w:rsidRDefault="00E732EF" w:rsidP="00E732EF">
      <w:pPr>
        <w:numPr>
          <w:ilvl w:val="0"/>
          <w:numId w:val="12"/>
        </w:numPr>
        <w:spacing w:after="0"/>
        <w:jc w:val="both"/>
        <w:rPr>
          <w:rFonts w:ascii="Times New Roman" w:eastAsia="Calibri" w:hAnsi="Times New Roman" w:cs="Times New Roman"/>
        </w:rPr>
      </w:pPr>
      <w:r w:rsidRPr="00E732EF">
        <w:rPr>
          <w:rFonts w:ascii="Times New Roman" w:eastAsia="Calibri" w:hAnsi="Times New Roman" w:cs="Times New Roman"/>
        </w:rPr>
        <w:t xml:space="preserve">provedba mjera s ciljem dodjeljivanja pomoći za ublažavanje i djelomično uklanjanje šteta od prirodnih nepogoda </w:t>
      </w:r>
    </w:p>
    <w:p w:rsidR="00E732EF" w:rsidRPr="00E732EF" w:rsidRDefault="00E732EF" w:rsidP="00E732EF">
      <w:pPr>
        <w:numPr>
          <w:ilvl w:val="0"/>
          <w:numId w:val="12"/>
        </w:numPr>
        <w:spacing w:after="0"/>
        <w:jc w:val="both"/>
        <w:rPr>
          <w:rFonts w:ascii="Times New Roman" w:eastAsia="Calibri" w:hAnsi="Times New Roman" w:cs="Times New Roman"/>
        </w:rPr>
      </w:pPr>
      <w:r w:rsidRPr="00E732EF">
        <w:rPr>
          <w:rFonts w:ascii="Times New Roman" w:eastAsia="Calibri" w:hAnsi="Times New Roman" w:cs="Times New Roman"/>
        </w:rPr>
        <w:t xml:space="preserve"> provedba mjera s ciljem dodjeljivanja </w:t>
      </w:r>
      <w:r w:rsidRPr="00E732EF">
        <w:rPr>
          <w:rFonts w:ascii="Times New Roman" w:eastAsia="Calibri" w:hAnsi="Times New Roman" w:cs="Times New Roman"/>
          <w:u w:val="single"/>
        </w:rPr>
        <w:t>žurne pomoći</w:t>
      </w:r>
      <w:r w:rsidRPr="00E732EF">
        <w:rPr>
          <w:rFonts w:ascii="Times New Roman" w:eastAsia="Calibri" w:hAnsi="Times New Roman" w:cs="Times New Roman"/>
        </w:rPr>
        <w:t xml:space="preserve"> u svrhu djelomične sanacije šteta od prirodnih nepogoda </w:t>
      </w:r>
    </w:p>
    <w:p w:rsidR="00E732EF" w:rsidRPr="00E732EF" w:rsidRDefault="00E732EF" w:rsidP="00E732EF">
      <w:pPr>
        <w:spacing w:after="0"/>
        <w:rPr>
          <w:rFonts w:ascii="Times New Roman" w:eastAsia="Calibri" w:hAnsi="Times New Roman" w:cs="Times New Roman"/>
        </w:rPr>
      </w:pPr>
      <w:r w:rsidRPr="00E732EF">
        <w:rPr>
          <w:rFonts w:ascii="Times New Roman" w:eastAsia="Calibri" w:hAnsi="Times New Roman" w:cs="Times New Roman"/>
        </w:rPr>
        <w:t xml:space="preserve"> </w:t>
      </w:r>
    </w:p>
    <w:p w:rsidR="00E732EF" w:rsidRPr="00E732EF" w:rsidRDefault="00E732EF" w:rsidP="00E732EF">
      <w:pPr>
        <w:spacing w:after="0"/>
        <w:rPr>
          <w:rFonts w:ascii="Times New Roman" w:eastAsia="Calibri" w:hAnsi="Times New Roman" w:cs="Times New Roman"/>
          <w:i/>
          <w:iCs/>
        </w:rPr>
      </w:pPr>
      <w:r w:rsidRPr="00E732EF">
        <w:rPr>
          <w:rFonts w:ascii="Times New Roman" w:eastAsia="Calibri" w:hAnsi="Times New Roman" w:cs="Times New Roman"/>
          <w:i/>
          <w:iCs/>
        </w:rPr>
        <w:t xml:space="preserve">Nadležna tijela za provedbu mjera s ciljem djelomičnog ublažavanja šteta uslijed prirodnih nepogoda, sukladno Zakonu,  su: </w:t>
      </w:r>
    </w:p>
    <w:p w:rsidR="00E732EF" w:rsidRPr="00E732EF" w:rsidRDefault="00E732EF" w:rsidP="00E732EF">
      <w:pPr>
        <w:numPr>
          <w:ilvl w:val="0"/>
          <w:numId w:val="24"/>
        </w:numPr>
        <w:spacing w:after="0"/>
        <w:rPr>
          <w:rFonts w:ascii="Times New Roman" w:eastAsia="Calibri" w:hAnsi="Times New Roman" w:cs="Times New Roman"/>
        </w:rPr>
      </w:pPr>
      <w:r w:rsidRPr="00E732EF">
        <w:rPr>
          <w:rFonts w:ascii="Times New Roman" w:eastAsia="Calibri" w:hAnsi="Times New Roman" w:cs="Times New Roman"/>
        </w:rPr>
        <w:t xml:space="preserve">Vlada Republike Hrvatske </w:t>
      </w:r>
    </w:p>
    <w:p w:rsidR="00E732EF" w:rsidRPr="00E732EF" w:rsidRDefault="00E732EF" w:rsidP="00E732EF">
      <w:pPr>
        <w:numPr>
          <w:ilvl w:val="0"/>
          <w:numId w:val="22"/>
        </w:numPr>
        <w:spacing w:after="0"/>
        <w:rPr>
          <w:rFonts w:ascii="Times New Roman" w:eastAsia="Calibri" w:hAnsi="Times New Roman" w:cs="Times New Roman"/>
        </w:rPr>
      </w:pPr>
      <w:r w:rsidRPr="00E732EF">
        <w:rPr>
          <w:rFonts w:ascii="Times New Roman" w:eastAsia="Calibri" w:hAnsi="Times New Roman" w:cs="Times New Roman"/>
        </w:rPr>
        <w:t xml:space="preserve">Povjerenstva za procjenu šteta od elementarnih nepogoda </w:t>
      </w:r>
    </w:p>
    <w:p w:rsidR="00E732EF" w:rsidRPr="00E732EF" w:rsidRDefault="00E732EF" w:rsidP="00E732EF">
      <w:pPr>
        <w:numPr>
          <w:ilvl w:val="0"/>
          <w:numId w:val="22"/>
        </w:numPr>
        <w:spacing w:after="0"/>
        <w:jc w:val="both"/>
        <w:rPr>
          <w:rFonts w:ascii="Times New Roman" w:eastAsia="Calibri" w:hAnsi="Times New Roman" w:cs="Times New Roman"/>
        </w:rPr>
      </w:pPr>
      <w:r w:rsidRPr="00E732EF">
        <w:rPr>
          <w:rFonts w:ascii="Times New Roman" w:eastAsia="Calibri" w:hAnsi="Times New Roman" w:cs="Times New Roman"/>
        </w:rPr>
        <w:t xml:space="preserve">Nadležna ministarstva (ministarstva nadležna za financije; poljoprivredu; šumarstvo i ribarstvo; gospodarstvo; graditeljstvo i prostorno uređenje; zaštitu okoliša i energetiku; more, promet i infrastrukturu) </w:t>
      </w:r>
    </w:p>
    <w:p w:rsidR="00E732EF" w:rsidRPr="00E732EF" w:rsidRDefault="00E732EF" w:rsidP="00E732EF">
      <w:pPr>
        <w:numPr>
          <w:ilvl w:val="0"/>
          <w:numId w:val="22"/>
        </w:numPr>
        <w:spacing w:after="0"/>
        <w:rPr>
          <w:rFonts w:ascii="Times New Roman" w:eastAsia="Calibri" w:hAnsi="Times New Roman" w:cs="Times New Roman"/>
        </w:rPr>
      </w:pPr>
      <w:r w:rsidRPr="00E732EF">
        <w:rPr>
          <w:rFonts w:ascii="Times New Roman" w:eastAsia="Calibri" w:hAnsi="Times New Roman" w:cs="Times New Roman"/>
        </w:rPr>
        <w:t xml:space="preserve">Međimurska županija </w:t>
      </w:r>
    </w:p>
    <w:p w:rsidR="00E732EF" w:rsidRPr="00E732EF" w:rsidRDefault="00E732EF" w:rsidP="00E732EF">
      <w:pPr>
        <w:numPr>
          <w:ilvl w:val="0"/>
          <w:numId w:val="22"/>
        </w:numPr>
        <w:spacing w:after="0"/>
        <w:rPr>
          <w:rFonts w:ascii="Times New Roman" w:eastAsia="Calibri" w:hAnsi="Times New Roman" w:cs="Times New Roman"/>
        </w:rPr>
      </w:pPr>
      <w:r w:rsidRPr="00E732EF">
        <w:rPr>
          <w:rFonts w:ascii="Times New Roman" w:eastAsia="Calibri" w:hAnsi="Times New Roman" w:cs="Times New Roman"/>
        </w:rPr>
        <w:t xml:space="preserve">Općina Sveti Juraj na Bregu </w:t>
      </w:r>
    </w:p>
    <w:p w:rsidR="00E732EF" w:rsidRPr="00E732EF" w:rsidRDefault="00E732EF" w:rsidP="00E732EF">
      <w:pPr>
        <w:spacing w:after="0"/>
        <w:rPr>
          <w:rFonts w:ascii="Times New Roman" w:eastAsia="Calibri" w:hAnsi="Times New Roman" w:cs="Times New Roman"/>
        </w:rPr>
      </w:pPr>
      <w:r w:rsidRPr="00E732EF">
        <w:rPr>
          <w:rFonts w:ascii="Times New Roman" w:eastAsia="Calibri" w:hAnsi="Times New Roman" w:cs="Times New Roman"/>
        </w:rPr>
        <w:t xml:space="preserve"> </w:t>
      </w:r>
    </w:p>
    <w:p w:rsidR="00E732EF" w:rsidRPr="00E732EF" w:rsidRDefault="00E732EF" w:rsidP="00E732EF">
      <w:pPr>
        <w:spacing w:after="0"/>
        <w:jc w:val="both"/>
        <w:rPr>
          <w:rFonts w:ascii="Times New Roman" w:eastAsia="Calibri" w:hAnsi="Times New Roman" w:cs="Times New Roman"/>
        </w:rPr>
      </w:pPr>
      <w:r w:rsidRPr="00E732EF">
        <w:rPr>
          <w:rFonts w:ascii="Times New Roman" w:eastAsia="Calibri" w:hAnsi="Times New Roman" w:cs="Times New Roman"/>
        </w:rPr>
        <w:t>Znanstvene ustanove za područje prirodnih nepogoda su Državni hidrometeorološki zavod (DHMZ), Zavod za seizmologiju i druge.</w:t>
      </w:r>
    </w:p>
    <w:p w:rsidR="00E732EF" w:rsidRPr="00E732EF" w:rsidRDefault="00E732EF" w:rsidP="00E732EF">
      <w:pPr>
        <w:spacing w:after="0"/>
        <w:jc w:val="both"/>
        <w:rPr>
          <w:rFonts w:ascii="Times New Roman" w:eastAsia="Calibri" w:hAnsi="Times New Roman" w:cs="Times New Roman"/>
        </w:rPr>
      </w:pPr>
      <w:r w:rsidRPr="00E732EF">
        <w:rPr>
          <w:rFonts w:ascii="Times New Roman" w:eastAsia="Calibri" w:hAnsi="Times New Roman" w:cs="Times New Roman"/>
        </w:rPr>
        <w:t xml:space="preserve">Općinsko povjerenstvo Općine Sveti Juraj na Bregu ostvaruje suradnju sa Županijskim povjerenstvom Međimurske županije za procjenu šteta od prirodnih nepogoda te sa istim usklađuje sve potrebne mjere i postupke oko provođenja ovog Plana. </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Times New Roman" w:eastAsia="Calibri" w:hAnsi="Times New Roman" w:cs="Times New Roman"/>
          <w:b/>
          <w:bCs/>
        </w:rPr>
      </w:pPr>
      <w:r w:rsidRPr="00E732EF">
        <w:rPr>
          <w:rFonts w:ascii="Times New Roman" w:eastAsia="Calibri" w:hAnsi="Times New Roman" w:cs="Times New Roman"/>
          <w:b/>
          <w:bCs/>
        </w:rPr>
        <w:t xml:space="preserve">  ZAKLJUČAK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Ovim planom evidentirane su moguće prirodne nepogode na području Općine Sveti Juraj na Bregu, te preventivne i posljedične mjere koje se planiraju poduzimati.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Analizom učestalosti pojave istih kao i dosadašnjih šteta moguće je doći do procjene mogućih budućih šteta na području Općine. Analizirajući sve snage i sredstva vidljivo je da Općina ima snage kojima će provesti  mjere za ublažavanje i otklanjanje izravnih posljedica prirodne nepogode.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Preventivne radnje koje je Općina Sveti Juraj na Bregu u mogućnosti provesti, kontinuirano će se provoditi tokom godine. Isto tako Općina će, kao JLS ali i usmjeravanjem stanovništva participirati u projektima iz oblasti preventive i kurative u poljoprivredi u Županiji. Općina i Županija ima razvijen Program potpora u poljoprivredi (bespovratna sredstva iz Proračuna Općine ili Županije). Dio tih potpora koristiti će se i glede preventive i otklanjanja posljedica elementarnih nepogoda a naročito:</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1.2. Uzorkovanje tla i kalcifikacija poljoprivrednog zemljišta</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1.3. Podizanje protugradnih mreža</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1.4. Navodnjavanje i zaštita od mraza</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1.5. Ekološka proizvodnja u poljoprivredi</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2.2. Kupnja vode za OPG</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lastRenderedPageBreak/>
        <w:t>Mjera 3.1. Plastenici i staklenici</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5.1. Premija osiguranja biljne i stočarske proizvodnje</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7.1. Nabavka loznih cijepova i voćnih sadnica</w:t>
      </w:r>
    </w:p>
    <w:p w:rsidR="00E732EF" w:rsidRPr="00E732EF" w:rsidRDefault="00E732EF" w:rsidP="00E732EF">
      <w:pPr>
        <w:numPr>
          <w:ilvl w:val="0"/>
          <w:numId w:val="23"/>
        </w:numPr>
        <w:spacing w:after="0" w:line="240" w:lineRule="auto"/>
        <w:rPr>
          <w:rFonts w:ascii="Times New Roman" w:eastAsia="Calibri" w:hAnsi="Times New Roman" w:cs="Times New Roman"/>
        </w:rPr>
      </w:pPr>
      <w:r w:rsidRPr="00E732EF">
        <w:rPr>
          <w:rFonts w:ascii="Times New Roman" w:eastAsia="Calibri" w:hAnsi="Times New Roman" w:cs="Times New Roman"/>
          <w:color w:val="444444"/>
          <w:shd w:val="clear" w:color="auto" w:fill="FFFFFF"/>
        </w:rPr>
        <w:t>Mjera 10.3. Naknade šteta od elementarne nepogode</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Za interventne potrebe kod dešavanja elementarnih nepogoda Općina će koristiti sredstva iz pričuve općinskog proračuna. </w:t>
      </w:r>
    </w:p>
    <w:p w:rsidR="00E732EF" w:rsidRPr="00E732EF" w:rsidRDefault="00E732EF" w:rsidP="00E732EF">
      <w:pPr>
        <w:spacing w:after="0"/>
        <w:rPr>
          <w:rFonts w:ascii="Times New Roman" w:eastAsia="Calibri" w:hAnsi="Times New Roman" w:cs="Times New Roman"/>
        </w:rPr>
      </w:pPr>
    </w:p>
    <w:p w:rsidR="00E732EF" w:rsidRPr="00E732EF" w:rsidRDefault="00E732EF" w:rsidP="00E732EF">
      <w:pPr>
        <w:spacing w:after="0"/>
        <w:rPr>
          <w:rFonts w:ascii="Times New Roman" w:eastAsia="Calibri" w:hAnsi="Times New Roman" w:cs="Times New Roman"/>
        </w:rPr>
      </w:pPr>
      <w:r w:rsidRPr="00E732EF">
        <w:rPr>
          <w:rFonts w:ascii="Times New Roman" w:eastAsia="Calibri" w:hAnsi="Times New Roman" w:cs="Times New Roman"/>
        </w:rPr>
        <w:t xml:space="preserve">KLASA: </w:t>
      </w:r>
    </w:p>
    <w:p w:rsidR="00E732EF" w:rsidRPr="00E732EF" w:rsidRDefault="00E732EF" w:rsidP="00E732EF">
      <w:pPr>
        <w:spacing w:after="0"/>
        <w:rPr>
          <w:rFonts w:ascii="Times New Roman" w:eastAsia="Calibri" w:hAnsi="Times New Roman" w:cs="Times New Roman"/>
        </w:rPr>
      </w:pPr>
      <w:r w:rsidRPr="00E732EF">
        <w:rPr>
          <w:rFonts w:ascii="Times New Roman" w:eastAsia="Calibri" w:hAnsi="Times New Roman" w:cs="Times New Roman"/>
        </w:rPr>
        <w:t xml:space="preserve">URBROJ: </w:t>
      </w:r>
    </w:p>
    <w:p w:rsidR="00E732EF" w:rsidRPr="00E732EF" w:rsidRDefault="00E732EF" w:rsidP="00E732EF">
      <w:pPr>
        <w:spacing w:after="0"/>
        <w:rPr>
          <w:rFonts w:ascii="Times New Roman" w:eastAsia="Calibri" w:hAnsi="Times New Roman" w:cs="Times New Roman"/>
        </w:rPr>
      </w:pPr>
      <w:r w:rsidRPr="00E732EF">
        <w:rPr>
          <w:rFonts w:ascii="Times New Roman" w:eastAsia="Calibri" w:hAnsi="Times New Roman" w:cs="Times New Roman"/>
        </w:rPr>
        <w:t xml:space="preserve">U Pleškovcu, ________godine </w:t>
      </w:r>
    </w:p>
    <w:p w:rsidR="00E732EF" w:rsidRPr="00E732EF" w:rsidRDefault="00E732EF" w:rsidP="00E732EF">
      <w:pPr>
        <w:spacing w:after="0"/>
        <w:rPr>
          <w:rFonts w:ascii="Times New Roman" w:eastAsia="Calibri" w:hAnsi="Times New Roman" w:cs="Times New Roman"/>
        </w:rPr>
      </w:pPr>
    </w:p>
    <w:p w:rsidR="00E732EF" w:rsidRPr="00E732EF" w:rsidRDefault="00E732EF" w:rsidP="00E732EF">
      <w:pPr>
        <w:spacing w:after="0"/>
        <w:rPr>
          <w:rFonts w:ascii="Times New Roman" w:eastAsia="Calibri" w:hAnsi="Times New Roman" w:cs="Times New Roman"/>
        </w:rPr>
      </w:pPr>
    </w:p>
    <w:p w:rsidR="00E732EF" w:rsidRPr="00E732EF" w:rsidRDefault="00E732EF" w:rsidP="00E732EF">
      <w:pPr>
        <w:spacing w:after="0"/>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b/>
        </w:rPr>
      </w:pPr>
      <w:r w:rsidRPr="00E732EF">
        <w:rPr>
          <w:rFonts w:ascii="Calibri" w:eastAsia="Calibri" w:hAnsi="Calibri" w:cs="Times New Roman"/>
        </w:rPr>
        <w:t xml:space="preserve">                                                                                                                         </w:t>
      </w:r>
      <w:r w:rsidRPr="00E732EF">
        <w:rPr>
          <w:rFonts w:ascii="Times New Roman" w:eastAsia="Calibri" w:hAnsi="Times New Roman" w:cs="Times New Roman"/>
          <w:b/>
        </w:rPr>
        <w:t xml:space="preserve">PREDSJEDNIK </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                                                                                                                      Općinskog vijeća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                                                                                                                      Anđelko Kovačić</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lastRenderedPageBreak/>
        <w:t>Prilozi Plana: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numPr>
          <w:ilvl w:val="0"/>
          <w:numId w:val="26"/>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Prilog 1: Važeća Odluka o Povjerenstvu za procjenu šteta Općine Sveti Juraj na Bregu</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numPr>
          <w:ilvl w:val="0"/>
          <w:numId w:val="26"/>
        </w:numPr>
        <w:spacing w:after="0" w:line="240" w:lineRule="auto"/>
        <w:jc w:val="both"/>
        <w:rPr>
          <w:rFonts w:ascii="Times New Roman" w:eastAsia="Calibri" w:hAnsi="Times New Roman" w:cs="Times New Roman"/>
          <w:b/>
          <w:bCs/>
        </w:rPr>
      </w:pPr>
      <w:r w:rsidRPr="00E732EF">
        <w:rPr>
          <w:rFonts w:ascii="Times New Roman" w:eastAsia="Calibri" w:hAnsi="Times New Roman" w:cs="Times New Roman"/>
        </w:rPr>
        <w:t xml:space="preserve">Prilog 2: Obrazloženje za Općinsko vijeće -  </w:t>
      </w:r>
      <w:r w:rsidRPr="00E732EF">
        <w:rPr>
          <w:rFonts w:ascii="Times New Roman" w:eastAsia="Calibri" w:hAnsi="Times New Roman" w:cs="Times New Roman"/>
          <w:b/>
          <w:bCs/>
        </w:rPr>
        <w:t>Cilj nove zakonske regulative</w:t>
      </w: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numPr>
          <w:ilvl w:val="0"/>
          <w:numId w:val="26"/>
        </w:num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Prilog 3: Osnovni obrasci i sadržaji Područja procjena šteta A – K sa pripadajućim prilozima (tablicama)</w:t>
      </w: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color w:val="FF0000"/>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lastRenderedPageBreak/>
        <w:t>Prilog 1</w:t>
      </w:r>
      <w:r w:rsidRPr="00E732EF">
        <w:rPr>
          <w:rFonts w:ascii="Times New Roman" w:eastAsia="Calibri" w:hAnsi="Times New Roman" w:cs="Times New Roman"/>
        </w:rPr>
        <w:t>: Važeća Odluka o povjerenstvu Općine Sveti Juraj na Bregu</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C65F77" w:rsidP="00E732EF">
      <w:pPr>
        <w:spacing w:after="0" w:line="240" w:lineRule="auto"/>
        <w:jc w:val="both"/>
        <w:rPr>
          <w:rFonts w:ascii="Times New Roman" w:eastAsia="Calibri" w:hAnsi="Times New Roman" w:cs="Times New Roman"/>
          <w:color w:val="FF0000"/>
        </w:rPr>
      </w:pPr>
      <w:r>
        <w:rPr>
          <w:noProof/>
          <w:lang w:eastAsia="hr-HR"/>
        </w:rPr>
        <w:drawing>
          <wp:inline distT="0" distB="0" distL="0" distR="0" wp14:anchorId="6F6F53D0" wp14:editId="784CD889">
            <wp:extent cx="5760720" cy="8150993"/>
            <wp:effectExtent l="0" t="0" r="0" b="25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8150993"/>
                    </a:xfrm>
                    <a:prstGeom prst="rect">
                      <a:avLst/>
                    </a:prstGeom>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color w:val="FF0000"/>
        </w:rPr>
      </w:pPr>
    </w:p>
    <w:p w:rsidR="00C65F77" w:rsidRDefault="00C65F77" w:rsidP="00E732EF">
      <w:pPr>
        <w:spacing w:after="0" w:line="240" w:lineRule="auto"/>
        <w:jc w:val="both"/>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lastRenderedPageBreak/>
        <w:t>Prilog 2:</w:t>
      </w:r>
      <w:r w:rsidRPr="00E732EF">
        <w:rPr>
          <w:rFonts w:ascii="Times New Roman" w:eastAsia="Calibri" w:hAnsi="Times New Roman" w:cs="Times New Roman"/>
        </w:rPr>
        <w:t xml:space="preserve"> Obrazloženje za Općinsko vijeće -  </w:t>
      </w:r>
      <w:r w:rsidRPr="00E732EF">
        <w:rPr>
          <w:rFonts w:ascii="Times New Roman" w:eastAsia="Calibri" w:hAnsi="Times New Roman" w:cs="Times New Roman"/>
          <w:b/>
          <w:bCs/>
        </w:rPr>
        <w:t>Cilj nove zakonske regulative</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Pitanje dodjele pomoći za ublažavanje i djelomično uklanjanje posljedica prirodnih nepogoda u Republici Hrvatskoj pravno je do sada bilo uređeno Zakonom o zaštiti od elementarnih nepogoda („Narodne novine“ broj 73/97</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xml:space="preserve"> i 174/04</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Zakonom o zaštiti i spašavanju („Narodne novine“ broj 174/04</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79/07</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38/09</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xml:space="preserve"> i 127/10</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te Metodologijom za procjenu štete od elementarnih nepogoda („Narodne novine“ broj 96/98</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xml:space="preserve">). </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Dosadašnja praksa je ukazala na nužnost promjena u postojećem sustavu dodjele pomoći za nastale štete od prirodnih nepogoda. Predviđene izmjene sadržane su u Zakonu o ublažavanju i uklanjanju posljedica prirodnih nepogoda („Narodne novine“ broj 16/19</w:t>
      </w:r>
      <w:r>
        <w:rPr>
          <w:rFonts w:ascii="Times New Roman" w:eastAsia="Calibri" w:hAnsi="Times New Roman" w:cs="Times New Roman"/>
          <w:sz w:val="20"/>
          <w:szCs w:val="20"/>
        </w:rPr>
        <w:t>.</w:t>
      </w:r>
      <w:r w:rsidRPr="00E732EF">
        <w:rPr>
          <w:rFonts w:ascii="Times New Roman" w:eastAsia="Calibri" w:hAnsi="Times New Roman" w:cs="Times New Roman"/>
          <w:sz w:val="20"/>
          <w:szCs w:val="20"/>
        </w:rPr>
        <w:t>),  kojeg je potom pratio i novi Pravilnik o registru šteta.</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Važna novina Zakona je uspostava </w:t>
      </w:r>
      <w:r w:rsidRPr="00E732EF">
        <w:rPr>
          <w:rFonts w:ascii="Times New Roman" w:eastAsia="Calibri" w:hAnsi="Times New Roman" w:cs="Times New Roman"/>
          <w:b/>
          <w:bCs/>
          <w:sz w:val="20"/>
          <w:szCs w:val="20"/>
        </w:rPr>
        <w:t>Registra šteta</w:t>
      </w:r>
      <w:r w:rsidRPr="00E732EF">
        <w:rPr>
          <w:rFonts w:ascii="Times New Roman" w:eastAsia="Calibri" w:hAnsi="Times New Roman" w:cs="Times New Roman"/>
          <w:sz w:val="20"/>
          <w:szCs w:val="20"/>
        </w:rPr>
        <w:t xml:space="preserve"> koji će osiguravati podatke po imenu svake fizičke i pravne osobe koja je prijavila štetu, vrsti štete i iznosu štete i takvi podaci predstavljaju prvu bazu podataka o nastalim štetama od prirodnih nepogoda. Na taj način osigurat će se informacije o vrstama šteta na pojedinom području koje će moći koristiti i ostala tijela državne uprave za različite potrebe.</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Uz ostale razloge, uočena je potreba da se ovim Zakonom promijene postojeći uvjeti za dodjelu pomoći na način da se štete prijave u Registar šteta, a pomoć će biti dodijeljena ovisno o vrsti i visini oštećene imovine iz državnog proračuna Republike Hrvatske, a može se dodijeliti i iz fondova Europske unije. Pristupanjem Republike Hrvatske Europskoj uniji, Republika Hrvatska kao njena država članica ostvaruje pravo na apliciranje za dobivanje sredstava iz fondova Europske unije.</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Za očekivati je u budućnosti nastanak novih šteta na poljoprivrednim zemljištima, pri čemu nije moguće procijeniti razmjere nastanka istih. Iz tog razloga ovaj Zakon ne temelji se isključivo na štetama vezano uz poljoprivredu jer se nerijetko novčanim sredstvima za tu namjenu umanjuje mogućnost bilo kakvog djelovanja i raspodjelu sredstva </w:t>
      </w:r>
      <w:proofErr w:type="spellStart"/>
      <w:r w:rsidRPr="00E732EF">
        <w:rPr>
          <w:rFonts w:ascii="Times New Roman" w:eastAsia="Calibri" w:hAnsi="Times New Roman" w:cs="Times New Roman"/>
          <w:sz w:val="20"/>
          <w:szCs w:val="20"/>
        </w:rPr>
        <w:t>oštećenicima</w:t>
      </w:r>
      <w:proofErr w:type="spellEnd"/>
      <w:r w:rsidRPr="00E732EF">
        <w:rPr>
          <w:rFonts w:ascii="Times New Roman" w:eastAsia="Calibri" w:hAnsi="Times New Roman" w:cs="Times New Roman"/>
          <w:sz w:val="20"/>
          <w:szCs w:val="20"/>
        </w:rPr>
        <w:t xml:space="preserve"> kod kojih šteta nastaje u drugim oblicima, odnosno uzrokovana je poplavama, požarima, odronima zemlje i sličnim ugrozama.</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Zakonom o dodjeli pomoći za ublažavanje i djelomično uklanjanje posljedica prirodnih nepogoda regulira se učinkovitija dodjela sredstava pomoći jer se iz nadležnosti Državnog povjerenstva ograničavaju dodijeljena sredstava pomoći za djelomičnu sanaciju šteta u poljoprivredi do 50% ukupno planiranih sredstava za tekuću godinu, te se istodobno predviđa mogućnost da svatko od nadležnih tijela može dodijeliti sredstva pomoći za djelomičnu sanaciju šteta iz svoje nadležnosti. </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Također, ovim </w:t>
      </w:r>
      <w:r w:rsidRPr="00E732EF">
        <w:rPr>
          <w:rFonts w:ascii="Times New Roman" w:eastAsia="Calibri" w:hAnsi="Times New Roman" w:cs="Times New Roman"/>
          <w:sz w:val="20"/>
          <w:szCs w:val="20"/>
          <w:u w:val="single"/>
        </w:rPr>
        <w:t>Zakonom isključuju se oni oštećenici koji su osigurali svoju imovinu, a što je intencija usmjerena prema većoj svijesti svake fizičke ili pravne osobe o važnosti osiguranja imovine.</w:t>
      </w:r>
      <w:r w:rsidRPr="00E732EF">
        <w:rPr>
          <w:rFonts w:ascii="Times New Roman" w:eastAsia="Calibri" w:hAnsi="Times New Roman" w:cs="Times New Roman"/>
          <w:sz w:val="20"/>
          <w:szCs w:val="20"/>
        </w:rPr>
        <w:t xml:space="preserve"> </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Ovog trenutka moguće je utvrditi kako je postotak osiguranja imovine, poglavito u poljoprivredi, iznimno malen, te bi se takva praksa u budućnosti trebala znatnije mijenjati. Dakle, namjera je novoga Zakona u tom dijelu naglasiti potrebu da se u većoj mjeri osigurava imovina, a što bi u konačnici imalo pozitivne učinke na gospodarstvo. Naime, dodjela pomoći iz državnog proračuna nije obvezna, a s obzirom na visine iznosa koji se dodjeljuju, nije moguće stabiliziranje poslovanja oštećenika koji se bave određenim gospodarskim djelatnostima. Postojeći, uspostavljeni sustav omogućuje dodjelu državne potpore za osiguranje šteta u poljoprivredi, te Program ruralnog razvoja koji kroz dvije mjere osigurava sredstva za nadoknadu izgubljenog proizvodnog potencijala u poljoprivredi i pokriće troškova premije osiguranja usjeva, životinja i biljaka uzrokovanih različitim čimbenicima, a uključivo i rizike koje određuje  Zakon.</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 xml:space="preserve">Novim Zakonom je propisana odgovornost gradonačelnika i općinskih načelnika za namjensko korištenje dodijeljenih sredstava pomoći, te isti upućuje na odgovornost općinskih, gradskih i županijskih povjerenstava za provedbu mjera procjene i otklanjanja posljedica prirodnih nepogoda. </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Zakonom precizno je određeno da su sredstva dodijeljene pomoći za ublažavanje i djelomično uklanjanje posljedica od prirodnih nepogoda strogo namjenska (ne mogu se koristiti za druge namjene). Neraspoređeni višak sredstava jedinice lokalne samouprave dužne su doznačiti na račun Ministarstva financija, a samo u iznimnim slučajevima iz objektivnih razloga, za neraspoređeni višak sredstava može se tražiti od Državnog povjerenstva odobrenje za prenamjenu sredstava (koja se može odobriti samo za djelomično pokriće te štete za koju su sredstva dodijeljena).</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Također, Zakon ima za cilj usmjeriti davanje žurne pomoći koja je određena ugrozom zdravlja i života oštećenika, odnosno socijalnim statusom, te pomoć koja se odnosi na jedinice lokalne i područne (regionalne) samouprave u smislu davanja novčanih sredstava kako bi jedinica lokalne i područne (regionalne) samouprave mogla ubrzati sanaciju područja (poglavito javne infrastrukture) zahvaćenog prirodnom nepogodom. To su prioriteti koji su nužni za prepoznati, a koj</w:t>
      </w:r>
      <w:r w:rsidR="00201C24">
        <w:rPr>
          <w:rFonts w:ascii="Times New Roman" w:eastAsia="Calibri" w:hAnsi="Times New Roman" w:cs="Times New Roman"/>
          <w:sz w:val="20"/>
          <w:szCs w:val="20"/>
        </w:rPr>
        <w:t>ima se neće dozvoliti „osipanje“</w:t>
      </w:r>
      <w:r w:rsidRPr="00E732EF">
        <w:rPr>
          <w:rFonts w:ascii="Times New Roman" w:eastAsia="Calibri" w:hAnsi="Times New Roman" w:cs="Times New Roman"/>
          <w:sz w:val="20"/>
          <w:szCs w:val="20"/>
        </w:rPr>
        <w:t xml:space="preserve"> novčanih sredstava što je ovim Zakonom jasno propisano.</w:t>
      </w:r>
    </w:p>
    <w:p w:rsidR="00E732EF" w:rsidRPr="00E732EF" w:rsidRDefault="00E732EF" w:rsidP="00E732EF">
      <w:pPr>
        <w:spacing w:after="0" w:line="240" w:lineRule="auto"/>
        <w:jc w:val="both"/>
        <w:rPr>
          <w:rFonts w:ascii="Times New Roman" w:eastAsia="Calibri" w:hAnsi="Times New Roman" w:cs="Times New Roman"/>
          <w:sz w:val="20"/>
          <w:szCs w:val="20"/>
        </w:rPr>
      </w:pPr>
      <w:r w:rsidRPr="00E732EF">
        <w:rPr>
          <w:rFonts w:ascii="Times New Roman" w:eastAsia="Calibri" w:hAnsi="Times New Roman" w:cs="Times New Roman"/>
          <w:sz w:val="20"/>
          <w:szCs w:val="20"/>
        </w:rPr>
        <w:t>Zakon kao jedan od propisa koji je usmjeren djelomičnom saniranju šteta od prirodnih nepogoda ne bi trebao iziskivati znatno veće iznose od onih iskazanih, a što je i sadržano u samim načelima kojima je namjera u još većoj mjeri umanjiti gubitke i financijsku štetu pravnih i fizičkih osoba, jer je namjera potaknuti osiguranje imovine što u konačnici pozitivno djeluje na umanjenje gospodarske štete kao posljedice djelovanja prirodnih nepogoda.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lastRenderedPageBreak/>
        <w:t>Prilog 3</w:t>
      </w:r>
      <w:r w:rsidRPr="00E732EF">
        <w:rPr>
          <w:rFonts w:ascii="Times New Roman" w:eastAsia="Calibri" w:hAnsi="Times New Roman" w:cs="Times New Roman"/>
        </w:rPr>
        <w:t>: Osnovni obrasci i sadržaji Područja procjena šteta A – K sa pripadajućim prilozima (tablicama)</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spacing w:after="0" w:line="240" w:lineRule="auto"/>
        <w:jc w:val="center"/>
        <w:rPr>
          <w:rFonts w:ascii="Times New Roman" w:eastAsia="Calibri" w:hAnsi="Times New Roman" w:cs="Times New Roman"/>
          <w:b/>
          <w:bCs/>
        </w:rPr>
      </w:pPr>
      <w:r w:rsidRPr="00E732EF">
        <w:rPr>
          <w:rFonts w:ascii="Times New Roman" w:eastAsia="Calibri" w:hAnsi="Times New Roman" w:cs="Times New Roman"/>
          <w:b/>
          <w:bCs/>
        </w:rPr>
        <w:t>Osnovni obrasci iz Pravilnika o registru šteta od prirodnih nepogoda</w:t>
      </w:r>
    </w:p>
    <w:p w:rsidR="00E732EF" w:rsidRPr="00E732EF" w:rsidRDefault="00E732EF" w:rsidP="00E732EF">
      <w:pPr>
        <w:jc w:val="center"/>
        <w:rPr>
          <w:rFonts w:ascii="Calibri" w:eastAsia="Calibri" w:hAnsi="Calibri" w:cs="Arial"/>
        </w:rPr>
      </w:pPr>
      <w:r>
        <w:rPr>
          <w:rFonts w:ascii="Calibri" w:eastAsia="Calibri" w:hAnsi="Calibri" w:cs="Arial"/>
          <w:noProof/>
          <w:lang w:eastAsia="hr-HR"/>
        </w:rPr>
        <w:drawing>
          <wp:inline distT="0" distB="0" distL="0" distR="0">
            <wp:extent cx="4451350" cy="2277110"/>
            <wp:effectExtent l="0" t="0" r="6350" b="8890"/>
            <wp:docPr id="6" name="Slika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1350" cy="2277110"/>
                    </a:xfrm>
                    <a:prstGeom prst="rect">
                      <a:avLst/>
                    </a:prstGeom>
                    <a:noFill/>
                    <a:ln>
                      <a:noFill/>
                    </a:ln>
                  </pic:spPr>
                </pic:pic>
              </a:graphicData>
            </a:graphic>
          </wp:inline>
        </w:drawing>
      </w:r>
    </w:p>
    <w:p w:rsidR="00E732EF" w:rsidRPr="00E732EF" w:rsidRDefault="00E732EF" w:rsidP="00E732EF">
      <w:pPr>
        <w:spacing w:after="0" w:line="240" w:lineRule="auto"/>
        <w:jc w:val="center"/>
        <w:rPr>
          <w:rFonts w:ascii="Calibri" w:eastAsia="Calibri" w:hAnsi="Calibri" w:cs="Times New Roman"/>
        </w:rPr>
      </w:pPr>
      <w:r>
        <w:rPr>
          <w:rFonts w:ascii="Calibri" w:eastAsia="Calibri" w:hAnsi="Calibri" w:cs="Times New Roman"/>
          <w:noProof/>
          <w:lang w:eastAsia="hr-HR"/>
        </w:rPr>
        <w:drawing>
          <wp:inline distT="0" distB="0" distL="0" distR="0">
            <wp:extent cx="4373880" cy="3140075"/>
            <wp:effectExtent l="0" t="0" r="7620" b="3175"/>
            <wp:docPr id="5" name="Slika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3880" cy="3140075"/>
                    </a:xfrm>
                    <a:prstGeom prst="rect">
                      <a:avLst/>
                    </a:prstGeom>
                    <a:noFill/>
                    <a:ln>
                      <a:noFill/>
                    </a:ln>
                  </pic:spPr>
                </pic:pic>
              </a:graphicData>
            </a:graphic>
          </wp:inline>
        </w:drawing>
      </w:r>
    </w:p>
    <w:p w:rsidR="00E732EF" w:rsidRPr="00E732EF" w:rsidRDefault="00E732EF" w:rsidP="00E732EF">
      <w:pPr>
        <w:jc w:val="center"/>
        <w:rPr>
          <w:rFonts w:ascii="Calibri" w:eastAsia="Calibri" w:hAnsi="Calibri" w:cs="Arial"/>
        </w:rPr>
      </w:pPr>
      <w:r>
        <w:rPr>
          <w:rFonts w:ascii="Calibri" w:eastAsia="Calibri" w:hAnsi="Calibri" w:cs="Arial"/>
          <w:noProof/>
          <w:lang w:eastAsia="hr-HR"/>
        </w:rPr>
        <w:drawing>
          <wp:inline distT="0" distB="0" distL="0" distR="0">
            <wp:extent cx="4295775" cy="2562225"/>
            <wp:effectExtent l="0" t="0" r="9525" b="9525"/>
            <wp:docPr id="4" name="Slika 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5775" cy="2562225"/>
                    </a:xfrm>
                    <a:prstGeom prst="rect">
                      <a:avLst/>
                    </a:prstGeom>
                    <a:noFill/>
                    <a:ln>
                      <a:noFill/>
                    </a:ln>
                  </pic:spPr>
                </pic:pic>
              </a:graphicData>
            </a:graphic>
          </wp:inline>
        </w:drawing>
      </w:r>
    </w:p>
    <w:p w:rsidR="00E732EF" w:rsidRPr="00E732EF" w:rsidRDefault="00E732EF" w:rsidP="00E732EF">
      <w:pPr>
        <w:spacing w:after="0" w:line="240" w:lineRule="auto"/>
        <w:jc w:val="center"/>
        <w:rPr>
          <w:rFonts w:ascii="Times New Roman" w:eastAsia="Calibri" w:hAnsi="Times New Roman" w:cs="Times New Roman"/>
          <w:b/>
          <w:bCs/>
        </w:rPr>
      </w:pPr>
      <w:r>
        <w:rPr>
          <w:rFonts w:ascii="Times New Roman" w:eastAsia="Calibri" w:hAnsi="Times New Roman" w:cs="Times New Roman"/>
          <w:b/>
          <w:bCs/>
          <w:noProof/>
          <w:lang w:eastAsia="hr-HR"/>
        </w:rPr>
        <w:lastRenderedPageBreak/>
        <w:drawing>
          <wp:inline distT="0" distB="0" distL="0" distR="0">
            <wp:extent cx="4856480" cy="3959225"/>
            <wp:effectExtent l="0" t="0" r="1270" b="3175"/>
            <wp:docPr id="3" name="Slika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6480" cy="3959225"/>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b/>
          <w:bCs/>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t>A – Procjena štete na građevinama</w:t>
      </w:r>
      <w:r w:rsidRPr="00E732EF">
        <w:rPr>
          <w:rFonts w:ascii="Times New Roman" w:eastAsia="Calibri" w:hAnsi="Times New Roman" w:cs="Times New Roman"/>
        </w:rPr>
        <w:t xml:space="preserve"> (Čl.6 Pravilnika)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od prirodne nepogode na građevini procjenjuje se u kunama po formuli:</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Š = C · A · P · 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gdje je: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C važeća tržišna cijena (samo troškovi građenja) nove građevine po jedinici mjere (m3, m2, m1)</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A veličina građevine izražena u m3, m2 ili m1</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 oštećenje građevine kao cjeline koje se izražava brojevima od 0,</w:t>
      </w:r>
      <w:proofErr w:type="spellStart"/>
      <w:r w:rsidRPr="00E732EF">
        <w:rPr>
          <w:rFonts w:ascii="Times New Roman" w:eastAsia="Calibri" w:hAnsi="Times New Roman" w:cs="Times New Roman"/>
        </w:rPr>
        <w:t>0</w:t>
      </w:r>
      <w:proofErr w:type="spellEnd"/>
      <w:r w:rsidRPr="00E732EF">
        <w:rPr>
          <w:rFonts w:ascii="Times New Roman" w:eastAsia="Calibri" w:hAnsi="Times New Roman" w:cs="Times New Roman"/>
        </w:rPr>
        <w:t xml:space="preserve"> do 1,0 u koracima po 0,10. Za potpuno uništenu građevinu oštećenje je P=1,00.</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E koeficijent istrošenosti građevine (Prilog 3)</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Veličina građevine (A) iz stavka 1. ovoga članka određuje se za jedinicu mjere koja je primjerena utvrđenoj cijeni, npr. za neto površinu, za dužni metar, za kubni metar i sl.</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Kod stambenih i poslovnih zgrada izračunava se bruto površina, kako bi se dobila neto površina koja je rezultat umnoška bruto površine s koeficijentom K (prilog 4)</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Oštećenje »P« iz stavka 1. ovoga članka utvrđuje općinsko odnosno gradsko povjerenstvo pregledom oštećene građevine.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Osim navedenom formulom iz stavka 1. ovoga članka, šteta se može procijeniti i primjenom troškovničke metode, tj. izradom troškovnika radova potrebnih za dovođenje građevine u stanje prije nepogode.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Za pojedinačnu štetu veću od 200.000 kuna potrebno je dostaviti fotodokumentaciju oštećene građevine.</w:t>
      </w:r>
    </w:p>
    <w:p w:rsidR="00E732EF" w:rsidRPr="00E732EF" w:rsidRDefault="00E732EF" w:rsidP="00E732EF">
      <w:pPr>
        <w:rPr>
          <w:rFonts w:ascii="Calibri" w:eastAsia="Calibri" w:hAnsi="Calibri" w:cs="Arial"/>
        </w:rPr>
      </w:pPr>
      <w:r>
        <w:rPr>
          <w:rFonts w:ascii="Calibri" w:eastAsia="Calibri" w:hAnsi="Calibri" w:cs="Arial"/>
          <w:noProof/>
          <w:lang w:eastAsia="hr-HR"/>
        </w:rPr>
        <w:lastRenderedPageBreak/>
        <w:drawing>
          <wp:inline distT="0" distB="0" distL="0" distR="0">
            <wp:extent cx="4494530" cy="4037330"/>
            <wp:effectExtent l="0" t="0" r="1270" b="1270"/>
            <wp:docPr id="2" name="Slika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4530" cy="4037330"/>
                    </a:xfrm>
                    <a:prstGeom prst="rect">
                      <a:avLst/>
                    </a:prstGeom>
                    <a:noFill/>
                    <a:ln>
                      <a:noFill/>
                    </a:ln>
                  </pic:spPr>
                </pic:pic>
              </a:graphicData>
            </a:graphic>
          </wp:inline>
        </w:drawing>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b/>
          <w:bCs/>
        </w:rPr>
        <w:t>B – Procjena štete na opremi</w:t>
      </w:r>
      <w:r w:rsidRPr="00E732EF">
        <w:rPr>
          <w:rFonts w:ascii="Times New Roman" w:eastAsia="Calibri" w:hAnsi="Times New Roman" w:cs="Times New Roman"/>
        </w:rPr>
        <w:t xml:space="preserve"> (Čl.7 Pravilnika)</w:t>
      </w:r>
    </w:p>
    <w:p w:rsidR="00E732EF" w:rsidRPr="00E732EF" w:rsidRDefault="00E732EF" w:rsidP="00E732EF">
      <w:pPr>
        <w:spacing w:after="0" w:line="240" w:lineRule="auto"/>
        <w:rPr>
          <w:rFonts w:ascii="Calibri" w:eastAsia="Calibri" w:hAnsi="Calibri" w:cs="Times New Roman"/>
          <w:sz w:val="16"/>
          <w:szCs w:val="16"/>
        </w:rPr>
      </w:pP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na opremi procjenjuje se u kunama po formuli:</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Š = C · E · P</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gdje je: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C nabavna maloprodajna cijena nove opreme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E koeficijent istrošenosti opreme u vrijeme nastanka prirodne nepogode (Prilog 5).</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P oštećenje opreme koje se izražava brojevima od 0,</w:t>
      </w:r>
      <w:proofErr w:type="spellStart"/>
      <w:r w:rsidRPr="00E732EF">
        <w:rPr>
          <w:rFonts w:ascii="Times New Roman" w:eastAsia="Calibri" w:hAnsi="Times New Roman" w:cs="Times New Roman"/>
        </w:rPr>
        <w:t>0</w:t>
      </w:r>
      <w:proofErr w:type="spellEnd"/>
      <w:r w:rsidRPr="00E732EF">
        <w:rPr>
          <w:rFonts w:ascii="Times New Roman" w:eastAsia="Calibri" w:hAnsi="Times New Roman" w:cs="Times New Roman"/>
        </w:rPr>
        <w:t xml:space="preserve"> do 1,0. Za potpuno uništenu opremu oštećenje je P=1,00.</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Pri određivanju nabavne cijene (C) iz stavka 1. ovoga članka dopušteno je uzeti cijenu najsličnije opreme približno jednakih tehničkih svojstava.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Vijek trajanja opreme i koeficijent istrošenosti (E) iz stavka 1. ovoga članka procjenjuje općinsko/gradsko povjerenstvo.</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Oštećenje »P« iz stavka 1. ovoga članka procjenjuje općinsko odnosno gradsko povjerenstvo pregledom oštećene opreme.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Osim formulom iz stavka 1. ovoga članka, šteta se može procijeniti i primjenom troškovničke metode, tj. izradom troškovnika radova potrebnih za dovođenje opreme u stanje prije nepogode.</w:t>
      </w:r>
    </w:p>
    <w:p w:rsidR="00E732EF" w:rsidRPr="00E732EF" w:rsidRDefault="00E732EF" w:rsidP="00E732EF">
      <w:pPr>
        <w:spacing w:after="0" w:line="240" w:lineRule="auto"/>
        <w:jc w:val="both"/>
        <w:rPr>
          <w:rFonts w:ascii="Calibri" w:eastAsia="Calibri" w:hAnsi="Calibri" w:cs="Times New Roman"/>
        </w:rPr>
      </w:pPr>
      <w:r w:rsidRPr="00E732EF">
        <w:rPr>
          <w:rFonts w:ascii="Times New Roman" w:eastAsia="Calibri" w:hAnsi="Times New Roman" w:cs="Times New Roman"/>
        </w:rPr>
        <w:t>(6) Istovrsna oprema procjenjuje se navođenjem broja istovrsnih komada</w:t>
      </w:r>
      <w:r w:rsidRPr="00E732EF">
        <w:rPr>
          <w:rFonts w:ascii="Calibri" w:eastAsia="Calibri" w:hAnsi="Calibri" w:cs="Times New Roman"/>
        </w:rPr>
        <w:t>.</w:t>
      </w:r>
    </w:p>
    <w:p w:rsidR="00E732EF" w:rsidRPr="00E732EF" w:rsidRDefault="00E732EF" w:rsidP="00E732EF">
      <w:pPr>
        <w:rPr>
          <w:rFonts w:ascii="Calibri" w:eastAsia="Calibri" w:hAnsi="Calibri" w:cs="Arial"/>
        </w:rPr>
      </w:pPr>
      <w:r>
        <w:rPr>
          <w:rFonts w:ascii="Calibri" w:eastAsia="Calibri" w:hAnsi="Calibri" w:cs="Arial"/>
          <w:noProof/>
          <w:lang w:eastAsia="hr-HR"/>
        </w:rPr>
        <w:drawing>
          <wp:inline distT="0" distB="0" distL="0" distR="0">
            <wp:extent cx="5115560" cy="1354455"/>
            <wp:effectExtent l="0" t="0" r="8890" b="0"/>
            <wp:docPr id="1" name="Slika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5560" cy="1354455"/>
                    </a:xfrm>
                    <a:prstGeom prst="rect">
                      <a:avLst/>
                    </a:prstGeom>
                    <a:noFill/>
                    <a:ln>
                      <a:noFill/>
                    </a:ln>
                  </pic:spPr>
                </pic:pic>
              </a:graphicData>
            </a:graphic>
          </wp:inline>
        </w:drawing>
      </w:r>
    </w:p>
    <w:p w:rsidR="00E732EF" w:rsidRPr="00E732EF" w:rsidRDefault="00E732EF" w:rsidP="00E732EF">
      <w:pPr>
        <w:rPr>
          <w:rFonts w:ascii="Times New Roman" w:eastAsia="Calibri" w:hAnsi="Times New Roman" w:cs="Times New Roman"/>
          <w:b/>
          <w:bCs/>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lastRenderedPageBreak/>
        <w:t>C – Procjena štete na zemljištima</w:t>
      </w:r>
      <w:r w:rsidRPr="00E732EF">
        <w:rPr>
          <w:rFonts w:ascii="Times New Roman" w:eastAsia="Calibri" w:hAnsi="Times New Roman" w:cs="Times New Roman"/>
        </w:rPr>
        <w:t xml:space="preserve"> (Čl.8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se procjenjuje za poljoprivredno, građevinsko i šumsko zemljište.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Prirodne nepogode mogu uzrokovati privremeno ili trajno onesposobljavanje zemljišta.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Privremeno onesposobljeno odnosno degradirano ili onečišćeno poljoprivredno zemljište je ono zemljište koje se dodatnim ulaganjima može obnoviti za namjenu kojoj je služilo prije nastanka oštećenja.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Trajno onesposobljeno poljoprivredno zemljište je ono zemljište kojem je uništen gornji sloj tla sve do geološke podloge ili koje je onečišćeno štetnim tvarima koje se ne mogu poznatim stručnim postupcima odstraniti ili za koje je postupak revitalizacije zemljišta preskup.</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Za privremeno onesposobljeno poljoprivredno zemljište iz ovoga članka, iznos štete jednak je ukupnim troškovima materijalnih ulaganja i radova potrebnih da se navedeno zemljište dovede u približno prvobitno stanje. Kao dokaz potrebno je osigurati stručnu elaboraciju uz detaljan troškovnik ulaganja i radova. Tako utvrđena šteta ne smije biti veća od štete za trajno uništeno zemljište.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(6) Iznos štete za trajno onesposobljeno poljoprivredno zemljište iz ovoga članka, obračunava se na način da se utvrdi kategorija, bonitetna klasa i površina u hektarima, te pomnoži s odgovarajućim važećim tržišnim cijenama uzgajanih kultura u prethodnoj godini.</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(7) Podjela građevinskog zemljišta iz ovoga članka u skupine (zone) za koje se koriste različite cijene, mora biti definirana aktom županije prije nastanka prirodne nepogode. Ako takve podjele nema, primjenjuju se važeće tržišne cijene građevinskog zemljišta.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(8) Procjena štete na šumskom zemljištu iz ovoga članka vrši se po istome načelu kao i procjena štete na poljoprivrednom zemljištu.</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D – Procjena štete na šumama</w:t>
      </w:r>
      <w:r w:rsidRPr="00E732EF">
        <w:rPr>
          <w:rFonts w:ascii="Times New Roman" w:eastAsia="Calibri" w:hAnsi="Times New Roman" w:cs="Times New Roman"/>
        </w:rPr>
        <w:t xml:space="preserve"> (Čl.9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Za procjenu štete na šumama uzimaju se u obzir samo one šume koje se nalaze na katastarskim česticama na kojima je katastarska kultura šuma.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Kod procjene štete od elementarnih nepogoda na šumama najprije treba utvrditi površine pod bjelogoričnom i crnogoričnom šumom po vrstama drveća u hektarima, a zatim drvnu masu razvrstanu na tehničko i ogrjevno drvo oštećenih odnosno uništenih šumskih sastojina.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Vrijednost drvne mase iz stavka 2. ovoga članka obračunava se po cjeniku Hrvatskih šuma d.o.o. za drvnu masu stabala na panju (bez PDV-a) koji je trenutno važeći u vrijeme proglašenja prirodne nepogode (cjenik glavnih šumskih proizvoda). Iznos te štete unosi se u Registar šteta u obrazac »Šteta od prirodne nepogode na oštećenim i uništenim šumama« na način da se utvrđena ukupna vrijednost drvne mase pomnoži s faktorom oštećenja »P« čime se ukupna vrijednost oštećene i uništene drvne mase umanjuje za iskorištenu drvnu masu.</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Oštećenje »P« utvrđuje se pregledom oštećene šume. Oštećenje se izražava brojevima od 0,</w:t>
      </w:r>
      <w:proofErr w:type="spellStart"/>
      <w:r w:rsidRPr="00E732EF">
        <w:rPr>
          <w:rFonts w:ascii="Times New Roman" w:eastAsia="Calibri" w:hAnsi="Times New Roman" w:cs="Times New Roman"/>
        </w:rPr>
        <w:t>0</w:t>
      </w:r>
      <w:proofErr w:type="spellEnd"/>
      <w:r w:rsidRPr="00E732EF">
        <w:rPr>
          <w:rFonts w:ascii="Times New Roman" w:eastAsia="Calibri" w:hAnsi="Times New Roman" w:cs="Times New Roman"/>
        </w:rPr>
        <w:t xml:space="preserve"> do 1,0 u koracima po 0,10. Za potpuno uništenu drvnu masu, odnosno kada nema drvne mase za iskorištenje, oštećenje je P=1,00.</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Štete na novopodignutim šumskim sastojinama za prvi dobni razred do 20 godina starosti utvrđuje se metodom troškova podizanja sastojina po hektaru. Iznos te štete unosi se u Registar šteta u obrazac »Šteta od prirodne nepogode na novopodignutim šumskim sastojinama« na način da se utvrđena vrijednost podizanja sastojina pomnoži s faktorom oštećenja »P« čime se vrijednost podizanja umanjuje za postotak sastojine koji nije oštećen. Vrijednost podizanja sastojine obračunava se po važećem šumsko – odštetnom cjeniku.</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(6) Oštećenje »P« utvrđuje se pregledom oštećene sastojine. Oštećenje se izražava brojevima od 0,</w:t>
      </w:r>
      <w:proofErr w:type="spellStart"/>
      <w:r w:rsidRPr="00E732EF">
        <w:rPr>
          <w:rFonts w:ascii="Times New Roman" w:eastAsia="Calibri" w:hAnsi="Times New Roman" w:cs="Times New Roman"/>
        </w:rPr>
        <w:t>0</w:t>
      </w:r>
      <w:proofErr w:type="spellEnd"/>
      <w:r w:rsidRPr="00E732EF">
        <w:rPr>
          <w:rFonts w:ascii="Times New Roman" w:eastAsia="Calibri" w:hAnsi="Times New Roman" w:cs="Times New Roman"/>
        </w:rPr>
        <w:t xml:space="preserve"> do 1,0 u koracima po 0,10. Kad je novopodignuta sastojina u potpunosti uništena, oštećenje je P=1,0.</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E – Procjena štete u poljoprivredi </w:t>
      </w:r>
      <w:r w:rsidRPr="00E732EF">
        <w:rPr>
          <w:rFonts w:ascii="Times New Roman" w:eastAsia="Calibri" w:hAnsi="Times New Roman" w:cs="Times New Roman"/>
        </w:rPr>
        <w:t xml:space="preserve"> (Čl.10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Procjena štete u poljoprivredi obuhvaća procjenu štete nastale na biljnoj proizvodnji uključujući obrtna sredstva u poljoprivredi, i stočarstvu.</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Štete u poljoprivredi obračunavaju se prema mjestu prijave štete.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Štetu u poljoprivredi mogu prijaviti svi poljoprivredni proizvođači upisani u Upisnik poljoprivrednika.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lastRenderedPageBreak/>
        <w:t>(4) Prijava štete od prirodnih nepogoda u poljoprivredi obavezno sadržava MIBPG poljoprivrednog proizvođača te ARKOD oznaku površine za koju se šteta prijavljuje ili broj katastarske čestice.</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F – Procjena štete na biljnoj proizvodnji </w:t>
      </w:r>
      <w:r w:rsidRPr="00E732EF">
        <w:rPr>
          <w:rFonts w:ascii="Times New Roman" w:eastAsia="Calibri" w:hAnsi="Times New Roman" w:cs="Times New Roman"/>
        </w:rPr>
        <w:t xml:space="preserve"> (Čl.11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Procjena štete na biljnoj proizvodnji obuhvaća procjenu štete na višegodišnjim nasadima i obrtnim sredstvima u poljoprivredi uključujući gubitak priroda u kalendarskoj godini u kojoj je proglašena prirodna nepogoda.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Procjena štete od prirodne nepogode na biljnoj proizvodnji utvrđuje se umnoškom poljoprivredne površine (ha) pod pojedinom kulturom oštećenom ili uništenom prirodnom nepogodom, postotkom procijenjenog oštećenja i jedinstvenom cijenom kulture.</w:t>
      </w:r>
    </w:p>
    <w:p w:rsidR="00E732EF" w:rsidRPr="00E732EF" w:rsidRDefault="00E732EF" w:rsidP="00E732EF">
      <w:pPr>
        <w:spacing w:after="0" w:line="240" w:lineRule="auto"/>
        <w:rPr>
          <w:rFonts w:ascii="Calibri" w:eastAsia="Calibri" w:hAnsi="Calibri"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G – Procjena štete na višegodišnjim nasadima </w:t>
      </w:r>
      <w:r w:rsidRPr="00E732EF">
        <w:rPr>
          <w:rFonts w:ascii="Times New Roman" w:eastAsia="Calibri" w:hAnsi="Times New Roman" w:cs="Times New Roman"/>
        </w:rPr>
        <w:t xml:space="preserve"> (Čl.12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na višegodišnjim nasadima odnosi se na uništenje stabala i sadnica voćaka, maslina te trsova vinove loze.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Iznos štete na višegodišnjim nasadima obračunava se umnoškom broja uništenih stabala, trsova i/ili sadnica s jedinstvenom cijenom kulture.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Šteta od prirodne nepogode na višegodišnjim nasadima prijavljuje se u Registru šteta na obrascu Prijava štete na višegodišnjim nasadima.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H – Procjena štete na obrtnim sredstvima u poljoprivredi </w:t>
      </w:r>
      <w:r w:rsidRPr="00E732EF">
        <w:rPr>
          <w:rFonts w:ascii="Times New Roman" w:eastAsia="Calibri" w:hAnsi="Times New Roman" w:cs="Times New Roman"/>
        </w:rPr>
        <w:t xml:space="preserve"> (Čl.13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U obrtna sredstva u poljoprivredi ubrajaju se sirovine, reprodukcijski materijal, poluproizvodi i nedovršeni proizvodi, gotovi proizvodi i tekuća poljoprivredna proizvodnja.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Šteta u tekućoj poljoprivrednoj proizvodnji iz ovoga članka može nastati na žitaricama, industrijskom bilju, krmnom i ostalom bilju, livadama i pašnjacima te na voću, povrću, grožđu i maslinama.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Šteta je jednaka umnošku procijenjenih količina uništenih roba i jedinstvenih cijena.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(4) Šteta na obrtnim sredstvima procjenjuje se uvidom na mjestu nastanka štete, a obračunava po vrstama roba.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(5) Šteta od prirodne nepogode na obrtnim sredstvima prijavljuje se u Registru šteta na obrascu Prijava štete na obrtnim sredstvima.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I– Procjena štete u stočarstvu </w:t>
      </w:r>
      <w:r w:rsidRPr="00E732EF">
        <w:rPr>
          <w:rFonts w:ascii="Times New Roman" w:eastAsia="Calibri" w:hAnsi="Times New Roman" w:cs="Times New Roman"/>
        </w:rPr>
        <w:t xml:space="preserve"> (Čl.14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(1) Šteta u stočarstvu procjenjuje se samo na uginulim životinjama.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(2) Broj uginule stoke utvrđuje se po vrstama i kategorijama na način da se za svaku kategoriju stoke utvrđuje prosječna jedinična težina žive vage i važeća tržišna cijena po kilogramu žive vage. Šteta je jednaka umnošku broja komada, prosječne jedinične težine i jedinstvene cijene.</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(3) Pri procjeni štete u pčelarstvu, procjenjuje se ukupan broj uginulih društava, te se primjenom jedinstvenih cijena utvrđuje šteta.</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J– Procjena štete u ribarstvu i </w:t>
      </w:r>
      <w:proofErr w:type="spellStart"/>
      <w:r w:rsidRPr="00E732EF">
        <w:rPr>
          <w:rFonts w:ascii="Times New Roman" w:eastAsia="Calibri" w:hAnsi="Times New Roman" w:cs="Times New Roman"/>
          <w:b/>
          <w:bCs/>
        </w:rPr>
        <w:t>akvakulturi</w:t>
      </w:r>
      <w:proofErr w:type="spellEnd"/>
      <w:r w:rsidRPr="00E732EF">
        <w:rPr>
          <w:rFonts w:ascii="Times New Roman" w:eastAsia="Calibri" w:hAnsi="Times New Roman" w:cs="Times New Roman"/>
          <w:b/>
          <w:bCs/>
        </w:rPr>
        <w:t xml:space="preserve"> </w:t>
      </w:r>
      <w:r w:rsidRPr="00E732EF">
        <w:rPr>
          <w:rFonts w:ascii="Times New Roman" w:eastAsia="Calibri" w:hAnsi="Times New Roman" w:cs="Times New Roman"/>
        </w:rPr>
        <w:t xml:space="preserve"> (Čl.15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Pri procjeni šteta u ribarstvu i </w:t>
      </w:r>
      <w:proofErr w:type="spellStart"/>
      <w:r w:rsidRPr="00E732EF">
        <w:rPr>
          <w:rFonts w:ascii="Times New Roman" w:eastAsia="Calibri" w:hAnsi="Times New Roman" w:cs="Times New Roman"/>
        </w:rPr>
        <w:t>akvakulturi</w:t>
      </w:r>
      <w:proofErr w:type="spellEnd"/>
      <w:r w:rsidRPr="00E732EF">
        <w:rPr>
          <w:rFonts w:ascii="Times New Roman" w:eastAsia="Calibri" w:hAnsi="Times New Roman" w:cs="Times New Roman"/>
        </w:rPr>
        <w:t xml:space="preserve"> procjenjuje se ukupna količina uginule ribe i drugih organizama u </w:t>
      </w:r>
      <w:proofErr w:type="spellStart"/>
      <w:r w:rsidRPr="00E732EF">
        <w:rPr>
          <w:rFonts w:ascii="Times New Roman" w:eastAsia="Calibri" w:hAnsi="Times New Roman" w:cs="Times New Roman"/>
        </w:rPr>
        <w:t>akvakulturi</w:t>
      </w:r>
      <w:proofErr w:type="spellEnd"/>
      <w:r w:rsidRPr="00E732EF">
        <w:rPr>
          <w:rFonts w:ascii="Times New Roman" w:eastAsia="Calibri" w:hAnsi="Times New Roman" w:cs="Times New Roman"/>
        </w:rPr>
        <w:t>, te se primjenom jedinstvenih cijena utvrđuje iznos štete.</w:t>
      </w:r>
    </w:p>
    <w:p w:rsidR="00E732EF" w:rsidRPr="00E732EF" w:rsidRDefault="00E732EF" w:rsidP="00E732EF">
      <w:pPr>
        <w:spacing w:after="0" w:line="240" w:lineRule="auto"/>
        <w:jc w:val="both"/>
        <w:rPr>
          <w:rFonts w:ascii="Times New Roman" w:eastAsia="Calibri" w:hAnsi="Times New Roman" w:cs="Times New Roman"/>
        </w:rPr>
      </w:pPr>
    </w:p>
    <w:p w:rsidR="00E732EF" w:rsidRPr="00E732EF" w:rsidRDefault="00E732EF" w:rsidP="00E732EF">
      <w:pPr>
        <w:rPr>
          <w:rFonts w:ascii="Calibri" w:eastAsia="Calibri" w:hAnsi="Calibri" w:cs="Arial"/>
        </w:rPr>
      </w:pPr>
      <w:r w:rsidRPr="00E732EF">
        <w:rPr>
          <w:rFonts w:ascii="Times New Roman" w:eastAsia="Calibri" w:hAnsi="Times New Roman" w:cs="Times New Roman"/>
          <w:b/>
          <w:bCs/>
        </w:rPr>
        <w:t xml:space="preserve">K– Procjena štete na divljači </w:t>
      </w:r>
      <w:r w:rsidRPr="00E732EF">
        <w:rPr>
          <w:rFonts w:ascii="Times New Roman" w:eastAsia="Calibri" w:hAnsi="Times New Roman" w:cs="Times New Roman"/>
        </w:rPr>
        <w:t xml:space="preserve"> (Čl.16 Pravilnika)</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Štete se za uništenu divljač obračunavaju na način da se procijeni broj uginule divljači po vrstama te pomnoži s jedinstvenom cijenom.</w:t>
      </w:r>
    </w:p>
    <w:p w:rsidR="00E732EF" w:rsidRPr="00E732EF" w:rsidRDefault="00E732EF" w:rsidP="00E732EF">
      <w:pPr>
        <w:spacing w:after="0" w:line="240" w:lineRule="auto"/>
        <w:jc w:val="both"/>
        <w:rPr>
          <w:rFonts w:ascii="Times New Roman" w:eastAsia="Calibri" w:hAnsi="Times New Roman" w:cs="Times New Roman"/>
        </w:rPr>
      </w:pPr>
      <w:r w:rsidRPr="00E732EF">
        <w:rPr>
          <w:rFonts w:ascii="Times New Roman" w:eastAsia="Calibri" w:hAnsi="Times New Roman" w:cs="Times New Roman"/>
        </w:rPr>
        <w:t xml:space="preserve">Podaci o razvrstavanju dobara i šifre pojedinačno po kulturama objavljuju se na Internet stranici Ministarstva financija </w:t>
      </w:r>
      <w:hyperlink r:id="rId46" w:history="1">
        <w:r w:rsidRPr="00E732EF">
          <w:rPr>
            <w:rFonts w:ascii="Times New Roman" w:eastAsia="Calibri" w:hAnsi="Times New Roman" w:cs="Times New Roman"/>
            <w:b/>
            <w:bCs/>
            <w:color w:val="0000FF"/>
            <w:u w:val="single"/>
          </w:rPr>
          <w:t>www.mfin.hr</w:t>
        </w:r>
      </w:hyperlink>
      <w:r w:rsidRPr="00E732EF">
        <w:rPr>
          <w:rFonts w:ascii="Times New Roman" w:eastAsia="Calibri" w:hAnsi="Times New Roman" w:cs="Times New Roman"/>
          <w:b/>
          <w:bCs/>
        </w:rPr>
        <w:t xml:space="preserve">.                   </w:t>
      </w:r>
    </w:p>
    <w:p w:rsidR="00705F0C" w:rsidRDefault="00705F0C"/>
    <w:sectPr w:rsidR="00705F0C" w:rsidSect="00E732EF">
      <w:footerReference w:type="default" r:id="rId4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3E7" w:rsidRDefault="00AB53E7">
      <w:pPr>
        <w:spacing w:after="0" w:line="240" w:lineRule="auto"/>
      </w:pPr>
      <w:r>
        <w:separator/>
      </w:r>
    </w:p>
  </w:endnote>
  <w:endnote w:type="continuationSeparator" w:id="0">
    <w:p w:rsidR="00AB53E7" w:rsidRDefault="00AB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RO_Korinna">
    <w:altName w:val="Arial"/>
    <w:charset w:val="00"/>
    <w:family w:val="swiss"/>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2EF" w:rsidRDefault="00E732EF">
    <w:pPr>
      <w:pStyle w:val="Podnoje"/>
      <w:jc w:val="right"/>
    </w:pPr>
    <w:r>
      <w:fldChar w:fldCharType="begin"/>
    </w:r>
    <w:r>
      <w:instrText xml:space="preserve"> PAGE   \* MERGEFORMAT </w:instrText>
    </w:r>
    <w:r>
      <w:fldChar w:fldCharType="separate"/>
    </w:r>
    <w:r w:rsidR="00661C0A">
      <w:rPr>
        <w:noProof/>
      </w:rPr>
      <w:t>15</w:t>
    </w:r>
    <w:r>
      <w:fldChar w:fldCharType="end"/>
    </w:r>
  </w:p>
  <w:p w:rsidR="00E732EF" w:rsidRDefault="00E732EF">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3E7" w:rsidRDefault="00AB53E7">
      <w:pPr>
        <w:spacing w:after="0" w:line="240" w:lineRule="auto"/>
      </w:pPr>
      <w:r>
        <w:separator/>
      </w:r>
    </w:p>
  </w:footnote>
  <w:footnote w:type="continuationSeparator" w:id="0">
    <w:p w:rsidR="00AB53E7" w:rsidRDefault="00AB53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clip_image001"/>
      </v:shape>
    </w:pict>
  </w:numPicBullet>
  <w:abstractNum w:abstractNumId="0">
    <w:nsid w:val="046D7E82"/>
    <w:multiLevelType w:val="hybridMultilevel"/>
    <w:tmpl w:val="5C9C4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8205BCB"/>
    <w:multiLevelType w:val="hybridMultilevel"/>
    <w:tmpl w:val="96CA41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F520054"/>
    <w:multiLevelType w:val="hybridMultilevel"/>
    <w:tmpl w:val="9E4C70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0ED7C2C"/>
    <w:multiLevelType w:val="hybridMultilevel"/>
    <w:tmpl w:val="CF8A5F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2FF7799"/>
    <w:multiLevelType w:val="hybridMultilevel"/>
    <w:tmpl w:val="DBA4D14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4761CE1"/>
    <w:multiLevelType w:val="hybridMultilevel"/>
    <w:tmpl w:val="202A530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6EE3509"/>
    <w:multiLevelType w:val="multilevel"/>
    <w:tmpl w:val="6BA407C4"/>
    <w:lvl w:ilvl="0">
      <w:start w:val="1"/>
      <w:numFmt w:val="decimal"/>
      <w:pStyle w:val="Tijeloteksta"/>
      <w:lvlText w:val="%1."/>
      <w:lvlJc w:val="left"/>
      <w:pPr>
        <w:tabs>
          <w:tab w:val="num" w:pos="360"/>
        </w:tabs>
        <w:ind w:left="360" w:hanging="360"/>
      </w:pPr>
      <w:rPr>
        <w:rFonts w:ascii="Arial" w:hAnsi="Arial" w:hint="default"/>
        <w:b/>
        <w:i w:val="0"/>
        <w:sz w:val="22"/>
        <w:szCs w:val="22"/>
      </w:rPr>
    </w:lvl>
    <w:lvl w:ilvl="1">
      <w:start w:val="1"/>
      <w:numFmt w:val="decimal"/>
      <w:pStyle w:val="NASLOVar11"/>
      <w:lvlText w:val="%1.%2."/>
      <w:lvlJc w:val="left"/>
      <w:pPr>
        <w:tabs>
          <w:tab w:val="num" w:pos="792"/>
        </w:tabs>
        <w:ind w:left="792" w:hanging="432"/>
      </w:pPr>
      <w:rPr>
        <w:rFonts w:ascii="Arial" w:hAnsi="Arial" w:hint="default"/>
        <w:b/>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8A62C15"/>
    <w:multiLevelType w:val="hybridMultilevel"/>
    <w:tmpl w:val="D79649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B2F69A0"/>
    <w:multiLevelType w:val="hybridMultilevel"/>
    <w:tmpl w:val="DD98D006"/>
    <w:lvl w:ilvl="0" w:tplc="041A000B">
      <w:start w:val="1"/>
      <w:numFmt w:val="bullet"/>
      <w:lvlText w:val=""/>
      <w:lvlJc w:val="left"/>
      <w:pPr>
        <w:ind w:left="765"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nsid w:val="2D7B0D0F"/>
    <w:multiLevelType w:val="hybridMultilevel"/>
    <w:tmpl w:val="63CE4C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3463C37"/>
    <w:multiLevelType w:val="hybridMultilevel"/>
    <w:tmpl w:val="8116A83C"/>
    <w:lvl w:ilvl="0" w:tplc="041A0007">
      <w:start w:val="1"/>
      <w:numFmt w:val="bullet"/>
      <w:lvlText w:val=""/>
      <w:lvlPicBulletId w:val="0"/>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
    <w:nsid w:val="3776702A"/>
    <w:multiLevelType w:val="hybridMultilevel"/>
    <w:tmpl w:val="B6AEB502"/>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2">
    <w:nsid w:val="379A6070"/>
    <w:multiLevelType w:val="hybridMultilevel"/>
    <w:tmpl w:val="4FD64B92"/>
    <w:lvl w:ilvl="0" w:tplc="041A000B">
      <w:start w:val="1"/>
      <w:numFmt w:val="bullet"/>
      <w:lvlText w:val=""/>
      <w:lvlJc w:val="left"/>
      <w:pPr>
        <w:ind w:left="720" w:hanging="360"/>
      </w:pPr>
      <w:rPr>
        <w:rFonts w:ascii="Wingdings" w:hAnsi="Wingdings" w:hint="default"/>
      </w:rPr>
    </w:lvl>
    <w:lvl w:ilvl="1" w:tplc="8FD4561A">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79C0876"/>
    <w:multiLevelType w:val="hybridMultilevel"/>
    <w:tmpl w:val="CD4454FA"/>
    <w:lvl w:ilvl="0" w:tplc="041A0001">
      <w:start w:val="1"/>
      <w:numFmt w:val="bullet"/>
      <w:lvlText w:val=""/>
      <w:lvlJc w:val="left"/>
      <w:pPr>
        <w:ind w:left="720" w:hanging="360"/>
      </w:pPr>
      <w:rPr>
        <w:rFonts w:ascii="Symbol" w:hAnsi="Symbol" w:hint="default"/>
      </w:rPr>
    </w:lvl>
    <w:lvl w:ilvl="1" w:tplc="552837C4">
      <w:start w:val="2017"/>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8513CD3"/>
    <w:multiLevelType w:val="hybridMultilevel"/>
    <w:tmpl w:val="5526145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ACB48F8"/>
    <w:multiLevelType w:val="hybridMultilevel"/>
    <w:tmpl w:val="360CD61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21A2E17"/>
    <w:multiLevelType w:val="hybridMultilevel"/>
    <w:tmpl w:val="C0E2176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422248A1"/>
    <w:multiLevelType w:val="hybridMultilevel"/>
    <w:tmpl w:val="2D86F9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40119FE"/>
    <w:multiLevelType w:val="hybridMultilevel"/>
    <w:tmpl w:val="C676120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4409618D"/>
    <w:multiLevelType w:val="hybridMultilevel"/>
    <w:tmpl w:val="4C9EA81A"/>
    <w:lvl w:ilvl="0" w:tplc="041A0009">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0">
    <w:nsid w:val="46BF61E5"/>
    <w:multiLevelType w:val="hybridMultilevel"/>
    <w:tmpl w:val="BFFA81D0"/>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7B3667C"/>
    <w:multiLevelType w:val="hybridMultilevel"/>
    <w:tmpl w:val="E8883B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51723DE9"/>
    <w:multiLevelType w:val="hybridMultilevel"/>
    <w:tmpl w:val="01FA0ADC"/>
    <w:lvl w:ilvl="0" w:tplc="041A0001">
      <w:start w:val="1"/>
      <w:numFmt w:val="bullet"/>
      <w:lvlText w:val=""/>
      <w:lvlJc w:val="left"/>
      <w:pPr>
        <w:ind w:left="720" w:hanging="360"/>
      </w:pPr>
      <w:rPr>
        <w:rFonts w:ascii="Symbol" w:hAnsi="Symbol" w:hint="default"/>
      </w:rPr>
    </w:lvl>
    <w:lvl w:ilvl="1" w:tplc="980EBFBA">
      <w:start w:val="2017"/>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53286D61"/>
    <w:multiLevelType w:val="hybridMultilevel"/>
    <w:tmpl w:val="003C652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538A106E"/>
    <w:multiLevelType w:val="hybridMultilevel"/>
    <w:tmpl w:val="F372ED0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54B434E8"/>
    <w:multiLevelType w:val="hybridMultilevel"/>
    <w:tmpl w:val="DFFC71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64D12AF"/>
    <w:multiLevelType w:val="hybridMultilevel"/>
    <w:tmpl w:val="47F631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FD40C31"/>
    <w:multiLevelType w:val="hybridMultilevel"/>
    <w:tmpl w:val="646854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711F06A6"/>
    <w:multiLevelType w:val="hybridMultilevel"/>
    <w:tmpl w:val="7C507A14"/>
    <w:lvl w:ilvl="0" w:tplc="041A0007">
      <w:start w:val="1"/>
      <w:numFmt w:val="bullet"/>
      <w:lvlText w:val=""/>
      <w:lvlPicBulletId w:val="0"/>
      <w:lvlJc w:val="left"/>
      <w:pPr>
        <w:ind w:left="765"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9">
    <w:nsid w:val="73816F1C"/>
    <w:multiLevelType w:val="hybridMultilevel"/>
    <w:tmpl w:val="AB8E12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75301022"/>
    <w:multiLevelType w:val="hybridMultilevel"/>
    <w:tmpl w:val="332EC1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76B30A4C"/>
    <w:multiLevelType w:val="hybridMultilevel"/>
    <w:tmpl w:val="A23EAC74"/>
    <w:lvl w:ilvl="0" w:tplc="041A000B">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2">
    <w:nsid w:val="7A9323FD"/>
    <w:multiLevelType w:val="hybridMultilevel"/>
    <w:tmpl w:val="971C7E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7E472B1B"/>
    <w:multiLevelType w:val="hybridMultilevel"/>
    <w:tmpl w:val="18A02B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7EDF784F"/>
    <w:multiLevelType w:val="hybridMultilevel"/>
    <w:tmpl w:val="A70CF5F4"/>
    <w:lvl w:ilvl="0" w:tplc="041A000B">
      <w:start w:val="1"/>
      <w:numFmt w:val="bullet"/>
      <w:lvlText w:val=""/>
      <w:lvlJc w:val="left"/>
      <w:pPr>
        <w:ind w:left="758" w:hanging="360"/>
      </w:pPr>
      <w:rPr>
        <w:rFonts w:ascii="Wingdings" w:hAnsi="Wingdings" w:hint="default"/>
      </w:rPr>
    </w:lvl>
    <w:lvl w:ilvl="1" w:tplc="041A0003" w:tentative="1">
      <w:start w:val="1"/>
      <w:numFmt w:val="bullet"/>
      <w:lvlText w:val="o"/>
      <w:lvlJc w:val="left"/>
      <w:pPr>
        <w:ind w:left="1478" w:hanging="360"/>
      </w:pPr>
      <w:rPr>
        <w:rFonts w:ascii="Courier New" w:hAnsi="Courier New" w:cs="Courier New" w:hint="default"/>
      </w:rPr>
    </w:lvl>
    <w:lvl w:ilvl="2" w:tplc="041A0005" w:tentative="1">
      <w:start w:val="1"/>
      <w:numFmt w:val="bullet"/>
      <w:lvlText w:val=""/>
      <w:lvlJc w:val="left"/>
      <w:pPr>
        <w:ind w:left="2198" w:hanging="360"/>
      </w:pPr>
      <w:rPr>
        <w:rFonts w:ascii="Wingdings" w:hAnsi="Wingdings" w:hint="default"/>
      </w:rPr>
    </w:lvl>
    <w:lvl w:ilvl="3" w:tplc="041A0001" w:tentative="1">
      <w:start w:val="1"/>
      <w:numFmt w:val="bullet"/>
      <w:lvlText w:val=""/>
      <w:lvlJc w:val="left"/>
      <w:pPr>
        <w:ind w:left="2918" w:hanging="360"/>
      </w:pPr>
      <w:rPr>
        <w:rFonts w:ascii="Symbol" w:hAnsi="Symbol" w:hint="default"/>
      </w:rPr>
    </w:lvl>
    <w:lvl w:ilvl="4" w:tplc="041A0003" w:tentative="1">
      <w:start w:val="1"/>
      <w:numFmt w:val="bullet"/>
      <w:lvlText w:val="o"/>
      <w:lvlJc w:val="left"/>
      <w:pPr>
        <w:ind w:left="3638" w:hanging="360"/>
      </w:pPr>
      <w:rPr>
        <w:rFonts w:ascii="Courier New" w:hAnsi="Courier New" w:cs="Courier New" w:hint="default"/>
      </w:rPr>
    </w:lvl>
    <w:lvl w:ilvl="5" w:tplc="041A0005" w:tentative="1">
      <w:start w:val="1"/>
      <w:numFmt w:val="bullet"/>
      <w:lvlText w:val=""/>
      <w:lvlJc w:val="left"/>
      <w:pPr>
        <w:ind w:left="4358" w:hanging="360"/>
      </w:pPr>
      <w:rPr>
        <w:rFonts w:ascii="Wingdings" w:hAnsi="Wingdings" w:hint="default"/>
      </w:rPr>
    </w:lvl>
    <w:lvl w:ilvl="6" w:tplc="041A0001" w:tentative="1">
      <w:start w:val="1"/>
      <w:numFmt w:val="bullet"/>
      <w:lvlText w:val=""/>
      <w:lvlJc w:val="left"/>
      <w:pPr>
        <w:ind w:left="5078" w:hanging="360"/>
      </w:pPr>
      <w:rPr>
        <w:rFonts w:ascii="Symbol" w:hAnsi="Symbol" w:hint="default"/>
      </w:rPr>
    </w:lvl>
    <w:lvl w:ilvl="7" w:tplc="041A0003" w:tentative="1">
      <w:start w:val="1"/>
      <w:numFmt w:val="bullet"/>
      <w:lvlText w:val="o"/>
      <w:lvlJc w:val="left"/>
      <w:pPr>
        <w:ind w:left="5798" w:hanging="360"/>
      </w:pPr>
      <w:rPr>
        <w:rFonts w:ascii="Courier New" w:hAnsi="Courier New" w:cs="Courier New" w:hint="default"/>
      </w:rPr>
    </w:lvl>
    <w:lvl w:ilvl="8" w:tplc="041A0005" w:tentative="1">
      <w:start w:val="1"/>
      <w:numFmt w:val="bullet"/>
      <w:lvlText w:val=""/>
      <w:lvlJc w:val="left"/>
      <w:pPr>
        <w:ind w:left="6518" w:hanging="360"/>
      </w:pPr>
      <w:rPr>
        <w:rFonts w:ascii="Wingdings" w:hAnsi="Wingdings" w:hint="default"/>
      </w:rPr>
    </w:lvl>
  </w:abstractNum>
  <w:num w:numId="1">
    <w:abstractNumId w:val="31"/>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3"/>
  </w:num>
  <w:num w:numId="15">
    <w:abstractNumId w:val="12"/>
  </w:num>
  <w:num w:numId="16">
    <w:abstractNumId w:val="17"/>
  </w:num>
  <w:num w:numId="17">
    <w:abstractNumId w:val="4"/>
  </w:num>
  <w:num w:numId="18">
    <w:abstractNumId w:val="6"/>
  </w:num>
  <w:num w:numId="19">
    <w:abstractNumId w:val="26"/>
  </w:num>
  <w:num w:numId="20">
    <w:abstractNumId w:val="0"/>
  </w:num>
  <w:num w:numId="21">
    <w:abstractNumId w:val="13"/>
  </w:num>
  <w:num w:numId="22">
    <w:abstractNumId w:val="9"/>
  </w:num>
  <w:num w:numId="23">
    <w:abstractNumId w:val="2"/>
  </w:num>
  <w:num w:numId="24">
    <w:abstractNumId w:val="34"/>
  </w:num>
  <w:num w:numId="25">
    <w:abstractNumId w:val="20"/>
  </w:num>
  <w:num w:numId="26">
    <w:abstractNumId w:val="21"/>
  </w:num>
  <w:num w:numId="27">
    <w:abstractNumId w:val="22"/>
  </w:num>
  <w:num w:numId="28">
    <w:abstractNumId w:val="18"/>
  </w:num>
  <w:num w:numId="29">
    <w:abstractNumId w:val="16"/>
  </w:num>
  <w:num w:numId="30">
    <w:abstractNumId w:val="30"/>
  </w:num>
  <w:num w:numId="31">
    <w:abstractNumId w:val="14"/>
  </w:num>
  <w:num w:numId="32">
    <w:abstractNumId w:val="29"/>
  </w:num>
  <w:num w:numId="33">
    <w:abstractNumId w:val="23"/>
  </w:num>
  <w:num w:numId="34">
    <w:abstractNumId w:val="25"/>
  </w:num>
  <w:num w:numId="35">
    <w:abstractNumId w:val="24"/>
  </w:num>
  <w:num w:numId="36">
    <w:abstractNumId w:val="32"/>
  </w:num>
  <w:num w:numId="37">
    <w:abstractNumId w:val="15"/>
  </w:num>
  <w:num w:numId="38">
    <w:abstractNumId w:val="1"/>
  </w:num>
  <w:num w:numId="39">
    <w:abstractNumId w:val="5"/>
  </w:num>
  <w:num w:numId="40">
    <w:abstractNumId w:val="33"/>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EF"/>
    <w:rsid w:val="00160168"/>
    <w:rsid w:val="00201C24"/>
    <w:rsid w:val="002568D2"/>
    <w:rsid w:val="00284BEB"/>
    <w:rsid w:val="00337DEE"/>
    <w:rsid w:val="005F4A49"/>
    <w:rsid w:val="00661C0A"/>
    <w:rsid w:val="00705F0C"/>
    <w:rsid w:val="008C6040"/>
    <w:rsid w:val="00AB53E7"/>
    <w:rsid w:val="00B55256"/>
    <w:rsid w:val="00B9095C"/>
    <w:rsid w:val="00C65F77"/>
    <w:rsid w:val="00E732EF"/>
    <w:rsid w:val="00F23D0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E732EF"/>
  </w:style>
  <w:style w:type="paragraph" w:styleId="Bezproreda">
    <w:name w:val="No Spacing"/>
    <w:link w:val="BezproredaChar1"/>
    <w:uiPriority w:val="1"/>
    <w:qFormat/>
    <w:rsid w:val="00E732EF"/>
    <w:pPr>
      <w:spacing w:after="0" w:line="240" w:lineRule="auto"/>
    </w:pPr>
    <w:rPr>
      <w:rFonts w:ascii="Calibri" w:eastAsia="Calibri" w:hAnsi="Calibri" w:cs="Arial"/>
    </w:rPr>
  </w:style>
  <w:style w:type="paragraph" w:styleId="Odlomakpopisa">
    <w:name w:val="List Paragraph"/>
    <w:basedOn w:val="Normal"/>
    <w:uiPriority w:val="34"/>
    <w:qFormat/>
    <w:rsid w:val="00E732EF"/>
    <w:pPr>
      <w:ind w:left="720"/>
      <w:contextualSpacing/>
    </w:pPr>
    <w:rPr>
      <w:rFonts w:ascii="Calibri" w:eastAsia="Calibri" w:hAnsi="Calibri" w:cs="Arial"/>
    </w:rPr>
  </w:style>
  <w:style w:type="character" w:customStyle="1" w:styleId="kurziv">
    <w:name w:val="kurziv"/>
    <w:basedOn w:val="Zadanifontodlomka"/>
    <w:rsid w:val="00E732EF"/>
  </w:style>
  <w:style w:type="paragraph" w:styleId="Tekstbalonia">
    <w:name w:val="Balloon Text"/>
    <w:basedOn w:val="Normal"/>
    <w:link w:val="TekstbaloniaChar"/>
    <w:uiPriority w:val="99"/>
    <w:semiHidden/>
    <w:unhideWhenUsed/>
    <w:rsid w:val="00E732EF"/>
    <w:pPr>
      <w:spacing w:after="0" w:line="240" w:lineRule="auto"/>
    </w:pPr>
    <w:rPr>
      <w:rFonts w:ascii="Tahoma" w:eastAsia="Calibri" w:hAnsi="Tahoma" w:cs="Tahoma"/>
      <w:sz w:val="16"/>
      <w:szCs w:val="16"/>
    </w:rPr>
  </w:style>
  <w:style w:type="character" w:customStyle="1" w:styleId="TekstbaloniaChar">
    <w:name w:val="Tekst balončića Char"/>
    <w:basedOn w:val="Zadanifontodlomka"/>
    <w:link w:val="Tekstbalonia"/>
    <w:uiPriority w:val="99"/>
    <w:semiHidden/>
    <w:rsid w:val="00E732EF"/>
    <w:rPr>
      <w:rFonts w:ascii="Tahoma" w:eastAsia="Calibri" w:hAnsi="Tahoma" w:cs="Tahoma"/>
      <w:sz w:val="16"/>
      <w:szCs w:val="16"/>
    </w:rPr>
  </w:style>
  <w:style w:type="character" w:customStyle="1" w:styleId="BezproredaChar1">
    <w:name w:val="Bez proreda Char1"/>
    <w:link w:val="Bezproreda"/>
    <w:uiPriority w:val="1"/>
    <w:locked/>
    <w:rsid w:val="00E732EF"/>
    <w:rPr>
      <w:rFonts w:ascii="Calibri" w:eastAsia="Calibri" w:hAnsi="Calibri" w:cs="Arial"/>
    </w:rPr>
  </w:style>
  <w:style w:type="paragraph" w:styleId="Zaglavlje">
    <w:name w:val="header"/>
    <w:basedOn w:val="Normal"/>
    <w:link w:val="ZaglavljeChar"/>
    <w:uiPriority w:val="99"/>
    <w:semiHidden/>
    <w:unhideWhenUsed/>
    <w:rsid w:val="00E732EF"/>
    <w:pPr>
      <w:tabs>
        <w:tab w:val="center" w:pos="4536"/>
        <w:tab w:val="right" w:pos="9072"/>
      </w:tabs>
      <w:spacing w:after="0" w:line="240" w:lineRule="auto"/>
    </w:pPr>
    <w:rPr>
      <w:rFonts w:ascii="Calibri" w:eastAsia="Calibri" w:hAnsi="Calibri" w:cs="Arial"/>
    </w:rPr>
  </w:style>
  <w:style w:type="character" w:customStyle="1" w:styleId="ZaglavljeChar">
    <w:name w:val="Zaglavlje Char"/>
    <w:basedOn w:val="Zadanifontodlomka"/>
    <w:link w:val="Zaglavlje"/>
    <w:uiPriority w:val="99"/>
    <w:semiHidden/>
    <w:rsid w:val="00E732EF"/>
    <w:rPr>
      <w:rFonts w:ascii="Calibri" w:eastAsia="Calibri" w:hAnsi="Calibri" w:cs="Arial"/>
    </w:rPr>
  </w:style>
  <w:style w:type="paragraph" w:styleId="Podnoje">
    <w:name w:val="footer"/>
    <w:basedOn w:val="Normal"/>
    <w:link w:val="PodnojeChar"/>
    <w:uiPriority w:val="99"/>
    <w:unhideWhenUsed/>
    <w:rsid w:val="00E732EF"/>
    <w:pPr>
      <w:tabs>
        <w:tab w:val="center" w:pos="4536"/>
        <w:tab w:val="right" w:pos="9072"/>
      </w:tabs>
      <w:spacing w:after="0" w:line="240" w:lineRule="auto"/>
    </w:pPr>
    <w:rPr>
      <w:rFonts w:ascii="Calibri" w:eastAsia="Calibri" w:hAnsi="Calibri" w:cs="Arial"/>
    </w:rPr>
  </w:style>
  <w:style w:type="character" w:customStyle="1" w:styleId="PodnojeChar">
    <w:name w:val="Podnožje Char"/>
    <w:basedOn w:val="Zadanifontodlomka"/>
    <w:link w:val="Podnoje"/>
    <w:uiPriority w:val="99"/>
    <w:rsid w:val="00E732EF"/>
    <w:rPr>
      <w:rFonts w:ascii="Calibri" w:eastAsia="Calibri" w:hAnsi="Calibri" w:cs="Arial"/>
    </w:rPr>
  </w:style>
  <w:style w:type="paragraph" w:customStyle="1" w:styleId="Bezproreda1">
    <w:name w:val="Bez proreda1"/>
    <w:link w:val="BezproredaChar"/>
    <w:qFormat/>
    <w:rsid w:val="00E732EF"/>
    <w:pPr>
      <w:spacing w:after="0" w:line="240" w:lineRule="auto"/>
    </w:pPr>
    <w:rPr>
      <w:rFonts w:ascii="Calibri" w:eastAsia="Calibri" w:hAnsi="Calibri" w:cs="Times New Roman"/>
      <w:lang w:val="en-US"/>
    </w:rPr>
  </w:style>
  <w:style w:type="character" w:customStyle="1" w:styleId="NoSpacingChar">
    <w:name w:val="No Spacing Char"/>
    <w:uiPriority w:val="1"/>
    <w:locked/>
    <w:rsid w:val="00E732EF"/>
    <w:rPr>
      <w:rFonts w:cs="Times New Roman"/>
      <w:sz w:val="22"/>
      <w:szCs w:val="22"/>
      <w:lang w:val="hr-HR" w:eastAsia="en-US" w:bidi="ar-SA"/>
    </w:rPr>
  </w:style>
  <w:style w:type="paragraph" w:styleId="Tekstfusnote">
    <w:name w:val="footnote text"/>
    <w:basedOn w:val="Normal"/>
    <w:link w:val="TekstfusnoteChar"/>
    <w:uiPriority w:val="99"/>
    <w:semiHidden/>
    <w:unhideWhenUsed/>
    <w:rsid w:val="00E732EF"/>
    <w:rPr>
      <w:rFonts w:ascii="Calibri" w:eastAsia="Calibri" w:hAnsi="Calibri" w:cs="Arial"/>
      <w:sz w:val="20"/>
      <w:szCs w:val="20"/>
    </w:rPr>
  </w:style>
  <w:style w:type="character" w:customStyle="1" w:styleId="TekstfusnoteChar">
    <w:name w:val="Tekst fusnote Char"/>
    <w:basedOn w:val="Zadanifontodlomka"/>
    <w:link w:val="Tekstfusnote"/>
    <w:uiPriority w:val="99"/>
    <w:semiHidden/>
    <w:rsid w:val="00E732EF"/>
    <w:rPr>
      <w:rFonts w:ascii="Calibri" w:eastAsia="Calibri" w:hAnsi="Calibri" w:cs="Arial"/>
      <w:sz w:val="20"/>
      <w:szCs w:val="20"/>
    </w:rPr>
  </w:style>
  <w:style w:type="character" w:styleId="Referencafusnote">
    <w:name w:val="footnote reference"/>
    <w:uiPriority w:val="99"/>
    <w:semiHidden/>
    <w:unhideWhenUsed/>
    <w:rsid w:val="00E732EF"/>
    <w:rPr>
      <w:vertAlign w:val="superscript"/>
    </w:rPr>
  </w:style>
  <w:style w:type="paragraph" w:customStyle="1" w:styleId="NASLOVar11">
    <w:name w:val="NASLOVar11"/>
    <w:basedOn w:val="Normal"/>
    <w:rsid w:val="00E732EF"/>
    <w:pPr>
      <w:numPr>
        <w:ilvl w:val="1"/>
        <w:numId w:val="18"/>
      </w:numPr>
      <w:tabs>
        <w:tab w:val="clear" w:pos="792"/>
        <w:tab w:val="num" w:pos="360"/>
      </w:tabs>
      <w:spacing w:before="360" w:after="240" w:line="240" w:lineRule="auto"/>
      <w:ind w:left="360" w:hanging="360"/>
      <w:jc w:val="both"/>
      <w:outlineLvl w:val="0"/>
    </w:pPr>
    <w:rPr>
      <w:rFonts w:ascii="Arial" w:eastAsia="Times New Roman" w:hAnsi="Arial" w:cs="Times New Roman"/>
      <w:b/>
      <w:caps/>
      <w:lang w:val="en-GB" w:eastAsia="hr-HR"/>
    </w:rPr>
  </w:style>
  <w:style w:type="paragraph" w:styleId="Tijeloteksta">
    <w:name w:val="Body Text"/>
    <w:basedOn w:val="Normal"/>
    <w:link w:val="TijelotekstaChar"/>
    <w:rsid w:val="00E732EF"/>
    <w:pPr>
      <w:numPr>
        <w:numId w:val="18"/>
      </w:numPr>
      <w:tabs>
        <w:tab w:val="clear" w:pos="360"/>
      </w:tabs>
      <w:spacing w:after="120" w:line="240" w:lineRule="auto"/>
      <w:ind w:left="0" w:firstLine="0"/>
    </w:pPr>
    <w:rPr>
      <w:rFonts w:ascii="Times New Roman" w:eastAsia="Times New Roman" w:hAnsi="Times New Roman" w:cs="Times New Roman"/>
      <w:sz w:val="20"/>
      <w:szCs w:val="20"/>
    </w:rPr>
  </w:style>
  <w:style w:type="character" w:customStyle="1" w:styleId="TijelotekstaChar">
    <w:name w:val="Tijelo teksta Char"/>
    <w:basedOn w:val="Zadanifontodlomka"/>
    <w:link w:val="Tijeloteksta"/>
    <w:rsid w:val="00E732EF"/>
    <w:rPr>
      <w:rFonts w:ascii="Times New Roman" w:eastAsia="Times New Roman" w:hAnsi="Times New Roman" w:cs="Times New Roman"/>
      <w:sz w:val="20"/>
      <w:szCs w:val="20"/>
    </w:rPr>
  </w:style>
  <w:style w:type="paragraph" w:styleId="Uvuenotijeloteksta">
    <w:name w:val="Body Text Indent"/>
    <w:basedOn w:val="Normal"/>
    <w:link w:val="UvuenotijelotekstaChar"/>
    <w:uiPriority w:val="99"/>
    <w:semiHidden/>
    <w:unhideWhenUsed/>
    <w:rsid w:val="00E732EF"/>
    <w:pPr>
      <w:spacing w:after="120"/>
      <w:ind w:left="283"/>
    </w:pPr>
    <w:rPr>
      <w:rFonts w:ascii="Calibri" w:eastAsia="Calibri" w:hAnsi="Calibri" w:cs="Arial"/>
    </w:rPr>
  </w:style>
  <w:style w:type="character" w:customStyle="1" w:styleId="UvuenotijelotekstaChar">
    <w:name w:val="Uvučeno tijelo teksta Char"/>
    <w:basedOn w:val="Zadanifontodlomka"/>
    <w:link w:val="Uvuenotijeloteksta"/>
    <w:uiPriority w:val="99"/>
    <w:semiHidden/>
    <w:rsid w:val="00E732EF"/>
    <w:rPr>
      <w:rFonts w:ascii="Calibri" w:eastAsia="Calibri" w:hAnsi="Calibri" w:cs="Arial"/>
    </w:rPr>
  </w:style>
  <w:style w:type="paragraph" w:customStyle="1" w:styleId="marine">
    <w:name w:val="marine"/>
    <w:basedOn w:val="Normal"/>
    <w:rsid w:val="00E732EF"/>
    <w:pPr>
      <w:spacing w:after="0" w:line="240" w:lineRule="auto"/>
      <w:jc w:val="both"/>
    </w:pPr>
    <w:rPr>
      <w:rFonts w:ascii="CRO_Korinna" w:eastAsia="Times New Roman" w:hAnsi="CRO_Korinna" w:cs="Times New Roman"/>
      <w:szCs w:val="20"/>
    </w:rPr>
  </w:style>
  <w:style w:type="paragraph" w:styleId="Tijeloteksta2">
    <w:name w:val="Body Text 2"/>
    <w:basedOn w:val="Normal"/>
    <w:link w:val="Tijeloteksta2Char"/>
    <w:uiPriority w:val="99"/>
    <w:semiHidden/>
    <w:unhideWhenUsed/>
    <w:rsid w:val="00E732EF"/>
    <w:pPr>
      <w:spacing w:after="120" w:line="480" w:lineRule="auto"/>
    </w:pPr>
    <w:rPr>
      <w:rFonts w:ascii="Calibri" w:eastAsia="Calibri" w:hAnsi="Calibri" w:cs="Arial"/>
    </w:rPr>
  </w:style>
  <w:style w:type="character" w:customStyle="1" w:styleId="Tijeloteksta2Char">
    <w:name w:val="Tijelo teksta 2 Char"/>
    <w:basedOn w:val="Zadanifontodlomka"/>
    <w:link w:val="Tijeloteksta2"/>
    <w:uiPriority w:val="99"/>
    <w:semiHidden/>
    <w:rsid w:val="00E732EF"/>
    <w:rPr>
      <w:rFonts w:ascii="Calibri" w:eastAsia="Calibri" w:hAnsi="Calibri" w:cs="Arial"/>
    </w:rPr>
  </w:style>
  <w:style w:type="paragraph" w:customStyle="1" w:styleId="Style1">
    <w:name w:val="Style1"/>
    <w:basedOn w:val="Normal"/>
    <w:rsid w:val="00E732EF"/>
    <w:pPr>
      <w:spacing w:before="120" w:after="120" w:line="240" w:lineRule="auto"/>
      <w:jc w:val="both"/>
    </w:pPr>
    <w:rPr>
      <w:rFonts w:ascii="Arial" w:eastAsia="Times New Roman" w:hAnsi="Arial" w:cs="Times New Roman"/>
      <w:szCs w:val="20"/>
    </w:rPr>
  </w:style>
  <w:style w:type="paragraph" w:customStyle="1" w:styleId="tekst11">
    <w:name w:val="tekst11"/>
    <w:basedOn w:val="Normal"/>
    <w:rsid w:val="00E732EF"/>
    <w:pPr>
      <w:spacing w:after="0" w:line="288" w:lineRule="auto"/>
      <w:ind w:firstLine="709"/>
      <w:jc w:val="both"/>
    </w:pPr>
    <w:rPr>
      <w:rFonts w:ascii="Arial" w:eastAsia="Times New Roman" w:hAnsi="Arial" w:cs="Times New Roman"/>
      <w:lang w:eastAsia="hr-HR"/>
    </w:rPr>
  </w:style>
  <w:style w:type="character" w:styleId="Hiperveza">
    <w:name w:val="Hyperlink"/>
    <w:uiPriority w:val="99"/>
    <w:unhideWhenUsed/>
    <w:rsid w:val="00E732EF"/>
    <w:rPr>
      <w:color w:val="0000FF"/>
      <w:u w:val="single"/>
    </w:rPr>
  </w:style>
  <w:style w:type="character" w:customStyle="1" w:styleId="BezproredaChar">
    <w:name w:val="Bez proreda Char"/>
    <w:link w:val="Bezproreda1"/>
    <w:rsid w:val="00E732EF"/>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E732EF"/>
  </w:style>
  <w:style w:type="paragraph" w:styleId="Bezproreda">
    <w:name w:val="No Spacing"/>
    <w:link w:val="BezproredaChar1"/>
    <w:uiPriority w:val="1"/>
    <w:qFormat/>
    <w:rsid w:val="00E732EF"/>
    <w:pPr>
      <w:spacing w:after="0" w:line="240" w:lineRule="auto"/>
    </w:pPr>
    <w:rPr>
      <w:rFonts w:ascii="Calibri" w:eastAsia="Calibri" w:hAnsi="Calibri" w:cs="Arial"/>
    </w:rPr>
  </w:style>
  <w:style w:type="paragraph" w:styleId="Odlomakpopisa">
    <w:name w:val="List Paragraph"/>
    <w:basedOn w:val="Normal"/>
    <w:uiPriority w:val="34"/>
    <w:qFormat/>
    <w:rsid w:val="00E732EF"/>
    <w:pPr>
      <w:ind w:left="720"/>
      <w:contextualSpacing/>
    </w:pPr>
    <w:rPr>
      <w:rFonts w:ascii="Calibri" w:eastAsia="Calibri" w:hAnsi="Calibri" w:cs="Arial"/>
    </w:rPr>
  </w:style>
  <w:style w:type="character" w:customStyle="1" w:styleId="kurziv">
    <w:name w:val="kurziv"/>
    <w:basedOn w:val="Zadanifontodlomka"/>
    <w:rsid w:val="00E732EF"/>
  </w:style>
  <w:style w:type="paragraph" w:styleId="Tekstbalonia">
    <w:name w:val="Balloon Text"/>
    <w:basedOn w:val="Normal"/>
    <w:link w:val="TekstbaloniaChar"/>
    <w:uiPriority w:val="99"/>
    <w:semiHidden/>
    <w:unhideWhenUsed/>
    <w:rsid w:val="00E732EF"/>
    <w:pPr>
      <w:spacing w:after="0" w:line="240" w:lineRule="auto"/>
    </w:pPr>
    <w:rPr>
      <w:rFonts w:ascii="Tahoma" w:eastAsia="Calibri" w:hAnsi="Tahoma" w:cs="Tahoma"/>
      <w:sz w:val="16"/>
      <w:szCs w:val="16"/>
    </w:rPr>
  </w:style>
  <w:style w:type="character" w:customStyle="1" w:styleId="TekstbaloniaChar">
    <w:name w:val="Tekst balončića Char"/>
    <w:basedOn w:val="Zadanifontodlomka"/>
    <w:link w:val="Tekstbalonia"/>
    <w:uiPriority w:val="99"/>
    <w:semiHidden/>
    <w:rsid w:val="00E732EF"/>
    <w:rPr>
      <w:rFonts w:ascii="Tahoma" w:eastAsia="Calibri" w:hAnsi="Tahoma" w:cs="Tahoma"/>
      <w:sz w:val="16"/>
      <w:szCs w:val="16"/>
    </w:rPr>
  </w:style>
  <w:style w:type="character" w:customStyle="1" w:styleId="BezproredaChar1">
    <w:name w:val="Bez proreda Char1"/>
    <w:link w:val="Bezproreda"/>
    <w:uiPriority w:val="1"/>
    <w:locked/>
    <w:rsid w:val="00E732EF"/>
    <w:rPr>
      <w:rFonts w:ascii="Calibri" w:eastAsia="Calibri" w:hAnsi="Calibri" w:cs="Arial"/>
    </w:rPr>
  </w:style>
  <w:style w:type="paragraph" w:styleId="Zaglavlje">
    <w:name w:val="header"/>
    <w:basedOn w:val="Normal"/>
    <w:link w:val="ZaglavljeChar"/>
    <w:uiPriority w:val="99"/>
    <w:semiHidden/>
    <w:unhideWhenUsed/>
    <w:rsid w:val="00E732EF"/>
    <w:pPr>
      <w:tabs>
        <w:tab w:val="center" w:pos="4536"/>
        <w:tab w:val="right" w:pos="9072"/>
      </w:tabs>
      <w:spacing w:after="0" w:line="240" w:lineRule="auto"/>
    </w:pPr>
    <w:rPr>
      <w:rFonts w:ascii="Calibri" w:eastAsia="Calibri" w:hAnsi="Calibri" w:cs="Arial"/>
    </w:rPr>
  </w:style>
  <w:style w:type="character" w:customStyle="1" w:styleId="ZaglavljeChar">
    <w:name w:val="Zaglavlje Char"/>
    <w:basedOn w:val="Zadanifontodlomka"/>
    <w:link w:val="Zaglavlje"/>
    <w:uiPriority w:val="99"/>
    <w:semiHidden/>
    <w:rsid w:val="00E732EF"/>
    <w:rPr>
      <w:rFonts w:ascii="Calibri" w:eastAsia="Calibri" w:hAnsi="Calibri" w:cs="Arial"/>
    </w:rPr>
  </w:style>
  <w:style w:type="paragraph" w:styleId="Podnoje">
    <w:name w:val="footer"/>
    <w:basedOn w:val="Normal"/>
    <w:link w:val="PodnojeChar"/>
    <w:uiPriority w:val="99"/>
    <w:unhideWhenUsed/>
    <w:rsid w:val="00E732EF"/>
    <w:pPr>
      <w:tabs>
        <w:tab w:val="center" w:pos="4536"/>
        <w:tab w:val="right" w:pos="9072"/>
      </w:tabs>
      <w:spacing w:after="0" w:line="240" w:lineRule="auto"/>
    </w:pPr>
    <w:rPr>
      <w:rFonts w:ascii="Calibri" w:eastAsia="Calibri" w:hAnsi="Calibri" w:cs="Arial"/>
    </w:rPr>
  </w:style>
  <w:style w:type="character" w:customStyle="1" w:styleId="PodnojeChar">
    <w:name w:val="Podnožje Char"/>
    <w:basedOn w:val="Zadanifontodlomka"/>
    <w:link w:val="Podnoje"/>
    <w:uiPriority w:val="99"/>
    <w:rsid w:val="00E732EF"/>
    <w:rPr>
      <w:rFonts w:ascii="Calibri" w:eastAsia="Calibri" w:hAnsi="Calibri" w:cs="Arial"/>
    </w:rPr>
  </w:style>
  <w:style w:type="paragraph" w:customStyle="1" w:styleId="Bezproreda1">
    <w:name w:val="Bez proreda1"/>
    <w:link w:val="BezproredaChar"/>
    <w:qFormat/>
    <w:rsid w:val="00E732EF"/>
    <w:pPr>
      <w:spacing w:after="0" w:line="240" w:lineRule="auto"/>
    </w:pPr>
    <w:rPr>
      <w:rFonts w:ascii="Calibri" w:eastAsia="Calibri" w:hAnsi="Calibri" w:cs="Times New Roman"/>
      <w:lang w:val="en-US"/>
    </w:rPr>
  </w:style>
  <w:style w:type="character" w:customStyle="1" w:styleId="NoSpacingChar">
    <w:name w:val="No Spacing Char"/>
    <w:uiPriority w:val="1"/>
    <w:locked/>
    <w:rsid w:val="00E732EF"/>
    <w:rPr>
      <w:rFonts w:cs="Times New Roman"/>
      <w:sz w:val="22"/>
      <w:szCs w:val="22"/>
      <w:lang w:val="hr-HR" w:eastAsia="en-US" w:bidi="ar-SA"/>
    </w:rPr>
  </w:style>
  <w:style w:type="paragraph" w:styleId="Tekstfusnote">
    <w:name w:val="footnote text"/>
    <w:basedOn w:val="Normal"/>
    <w:link w:val="TekstfusnoteChar"/>
    <w:uiPriority w:val="99"/>
    <w:semiHidden/>
    <w:unhideWhenUsed/>
    <w:rsid w:val="00E732EF"/>
    <w:rPr>
      <w:rFonts w:ascii="Calibri" w:eastAsia="Calibri" w:hAnsi="Calibri" w:cs="Arial"/>
      <w:sz w:val="20"/>
      <w:szCs w:val="20"/>
    </w:rPr>
  </w:style>
  <w:style w:type="character" w:customStyle="1" w:styleId="TekstfusnoteChar">
    <w:name w:val="Tekst fusnote Char"/>
    <w:basedOn w:val="Zadanifontodlomka"/>
    <w:link w:val="Tekstfusnote"/>
    <w:uiPriority w:val="99"/>
    <w:semiHidden/>
    <w:rsid w:val="00E732EF"/>
    <w:rPr>
      <w:rFonts w:ascii="Calibri" w:eastAsia="Calibri" w:hAnsi="Calibri" w:cs="Arial"/>
      <w:sz w:val="20"/>
      <w:szCs w:val="20"/>
    </w:rPr>
  </w:style>
  <w:style w:type="character" w:styleId="Referencafusnote">
    <w:name w:val="footnote reference"/>
    <w:uiPriority w:val="99"/>
    <w:semiHidden/>
    <w:unhideWhenUsed/>
    <w:rsid w:val="00E732EF"/>
    <w:rPr>
      <w:vertAlign w:val="superscript"/>
    </w:rPr>
  </w:style>
  <w:style w:type="paragraph" w:customStyle="1" w:styleId="NASLOVar11">
    <w:name w:val="NASLOVar11"/>
    <w:basedOn w:val="Normal"/>
    <w:rsid w:val="00E732EF"/>
    <w:pPr>
      <w:numPr>
        <w:ilvl w:val="1"/>
        <w:numId w:val="18"/>
      </w:numPr>
      <w:tabs>
        <w:tab w:val="clear" w:pos="792"/>
        <w:tab w:val="num" w:pos="360"/>
      </w:tabs>
      <w:spacing w:before="360" w:after="240" w:line="240" w:lineRule="auto"/>
      <w:ind w:left="360" w:hanging="360"/>
      <w:jc w:val="both"/>
      <w:outlineLvl w:val="0"/>
    </w:pPr>
    <w:rPr>
      <w:rFonts w:ascii="Arial" w:eastAsia="Times New Roman" w:hAnsi="Arial" w:cs="Times New Roman"/>
      <w:b/>
      <w:caps/>
      <w:lang w:val="en-GB" w:eastAsia="hr-HR"/>
    </w:rPr>
  </w:style>
  <w:style w:type="paragraph" w:styleId="Tijeloteksta">
    <w:name w:val="Body Text"/>
    <w:basedOn w:val="Normal"/>
    <w:link w:val="TijelotekstaChar"/>
    <w:rsid w:val="00E732EF"/>
    <w:pPr>
      <w:numPr>
        <w:numId w:val="18"/>
      </w:numPr>
      <w:tabs>
        <w:tab w:val="clear" w:pos="360"/>
      </w:tabs>
      <w:spacing w:after="120" w:line="240" w:lineRule="auto"/>
      <w:ind w:left="0" w:firstLine="0"/>
    </w:pPr>
    <w:rPr>
      <w:rFonts w:ascii="Times New Roman" w:eastAsia="Times New Roman" w:hAnsi="Times New Roman" w:cs="Times New Roman"/>
      <w:sz w:val="20"/>
      <w:szCs w:val="20"/>
    </w:rPr>
  </w:style>
  <w:style w:type="character" w:customStyle="1" w:styleId="TijelotekstaChar">
    <w:name w:val="Tijelo teksta Char"/>
    <w:basedOn w:val="Zadanifontodlomka"/>
    <w:link w:val="Tijeloteksta"/>
    <w:rsid w:val="00E732EF"/>
    <w:rPr>
      <w:rFonts w:ascii="Times New Roman" w:eastAsia="Times New Roman" w:hAnsi="Times New Roman" w:cs="Times New Roman"/>
      <w:sz w:val="20"/>
      <w:szCs w:val="20"/>
    </w:rPr>
  </w:style>
  <w:style w:type="paragraph" w:styleId="Uvuenotijeloteksta">
    <w:name w:val="Body Text Indent"/>
    <w:basedOn w:val="Normal"/>
    <w:link w:val="UvuenotijelotekstaChar"/>
    <w:uiPriority w:val="99"/>
    <w:semiHidden/>
    <w:unhideWhenUsed/>
    <w:rsid w:val="00E732EF"/>
    <w:pPr>
      <w:spacing w:after="120"/>
      <w:ind w:left="283"/>
    </w:pPr>
    <w:rPr>
      <w:rFonts w:ascii="Calibri" w:eastAsia="Calibri" w:hAnsi="Calibri" w:cs="Arial"/>
    </w:rPr>
  </w:style>
  <w:style w:type="character" w:customStyle="1" w:styleId="UvuenotijelotekstaChar">
    <w:name w:val="Uvučeno tijelo teksta Char"/>
    <w:basedOn w:val="Zadanifontodlomka"/>
    <w:link w:val="Uvuenotijeloteksta"/>
    <w:uiPriority w:val="99"/>
    <w:semiHidden/>
    <w:rsid w:val="00E732EF"/>
    <w:rPr>
      <w:rFonts w:ascii="Calibri" w:eastAsia="Calibri" w:hAnsi="Calibri" w:cs="Arial"/>
    </w:rPr>
  </w:style>
  <w:style w:type="paragraph" w:customStyle="1" w:styleId="marine">
    <w:name w:val="marine"/>
    <w:basedOn w:val="Normal"/>
    <w:rsid w:val="00E732EF"/>
    <w:pPr>
      <w:spacing w:after="0" w:line="240" w:lineRule="auto"/>
      <w:jc w:val="both"/>
    </w:pPr>
    <w:rPr>
      <w:rFonts w:ascii="CRO_Korinna" w:eastAsia="Times New Roman" w:hAnsi="CRO_Korinna" w:cs="Times New Roman"/>
      <w:szCs w:val="20"/>
    </w:rPr>
  </w:style>
  <w:style w:type="paragraph" w:styleId="Tijeloteksta2">
    <w:name w:val="Body Text 2"/>
    <w:basedOn w:val="Normal"/>
    <w:link w:val="Tijeloteksta2Char"/>
    <w:uiPriority w:val="99"/>
    <w:semiHidden/>
    <w:unhideWhenUsed/>
    <w:rsid w:val="00E732EF"/>
    <w:pPr>
      <w:spacing w:after="120" w:line="480" w:lineRule="auto"/>
    </w:pPr>
    <w:rPr>
      <w:rFonts w:ascii="Calibri" w:eastAsia="Calibri" w:hAnsi="Calibri" w:cs="Arial"/>
    </w:rPr>
  </w:style>
  <w:style w:type="character" w:customStyle="1" w:styleId="Tijeloteksta2Char">
    <w:name w:val="Tijelo teksta 2 Char"/>
    <w:basedOn w:val="Zadanifontodlomka"/>
    <w:link w:val="Tijeloteksta2"/>
    <w:uiPriority w:val="99"/>
    <w:semiHidden/>
    <w:rsid w:val="00E732EF"/>
    <w:rPr>
      <w:rFonts w:ascii="Calibri" w:eastAsia="Calibri" w:hAnsi="Calibri" w:cs="Arial"/>
    </w:rPr>
  </w:style>
  <w:style w:type="paragraph" w:customStyle="1" w:styleId="Style1">
    <w:name w:val="Style1"/>
    <w:basedOn w:val="Normal"/>
    <w:rsid w:val="00E732EF"/>
    <w:pPr>
      <w:spacing w:before="120" w:after="120" w:line="240" w:lineRule="auto"/>
      <w:jc w:val="both"/>
    </w:pPr>
    <w:rPr>
      <w:rFonts w:ascii="Arial" w:eastAsia="Times New Roman" w:hAnsi="Arial" w:cs="Times New Roman"/>
      <w:szCs w:val="20"/>
    </w:rPr>
  </w:style>
  <w:style w:type="paragraph" w:customStyle="1" w:styleId="tekst11">
    <w:name w:val="tekst11"/>
    <w:basedOn w:val="Normal"/>
    <w:rsid w:val="00E732EF"/>
    <w:pPr>
      <w:spacing w:after="0" w:line="288" w:lineRule="auto"/>
      <w:ind w:firstLine="709"/>
      <w:jc w:val="both"/>
    </w:pPr>
    <w:rPr>
      <w:rFonts w:ascii="Arial" w:eastAsia="Times New Roman" w:hAnsi="Arial" w:cs="Times New Roman"/>
      <w:lang w:eastAsia="hr-HR"/>
    </w:rPr>
  </w:style>
  <w:style w:type="character" w:styleId="Hiperveza">
    <w:name w:val="Hyperlink"/>
    <w:uiPriority w:val="99"/>
    <w:unhideWhenUsed/>
    <w:rsid w:val="00E732EF"/>
    <w:rPr>
      <w:color w:val="0000FF"/>
      <w:u w:val="single"/>
    </w:rPr>
  </w:style>
  <w:style w:type="character" w:customStyle="1" w:styleId="BezproredaChar">
    <w:name w:val="Bez proreda Char"/>
    <w:link w:val="Bezproreda1"/>
    <w:rsid w:val="00E732EF"/>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s://hr.wikipedia.org/wiki/Padina" TargetMode="External"/><Relationship Id="rId26" Type="http://schemas.openxmlformats.org/officeDocument/2006/relationships/hyperlink" Target="https://hr.wikipedia.org/wiki/Tektonika_plo%C4%8Da" TargetMode="External"/><Relationship Id="rId39"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s://hr.wikipedia.org/wiki/Tlo" TargetMode="External"/><Relationship Id="rId34" Type="http://schemas.openxmlformats.org/officeDocument/2006/relationships/hyperlink" Target="https://hr.wikipedia.org/w/index.php?title=Potporni_zid&amp;action=edit&amp;redlink=1" TargetMode="External"/><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yperlink" Target="https://hr.wikipedia.org/wiki/Zrak" TargetMode="External"/><Relationship Id="rId33" Type="http://schemas.openxmlformats.org/officeDocument/2006/relationships/hyperlink" Target="https://hr.wikipedia.org/w/index.php?title=Drena%C5%BEa&amp;action=edit&amp;redlink=1" TargetMode="External"/><Relationship Id="rId38" Type="http://schemas.openxmlformats.org/officeDocument/2006/relationships/image" Target="media/image14.png"/><Relationship Id="rId46" Type="http://schemas.openxmlformats.org/officeDocument/2006/relationships/hyperlink" Target="http://www.mfin.hr"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s://hr.wikipedia.org/wiki/Tlo" TargetMode="External"/><Relationship Id="rId29" Type="http://schemas.openxmlformats.org/officeDocument/2006/relationships/hyperlink" Target="https://hr.wikipedia.org/wiki/Glina_(tlo)"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hr.wikipedia.org/wiki/Temperatura" TargetMode="External"/><Relationship Id="rId32" Type="http://schemas.openxmlformats.org/officeDocument/2006/relationships/hyperlink" Target="https://hr.wikipedia.org/wiki/Gra%C4%91evinarstvo" TargetMode="Externa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hr.wikipedia.org/wiki/Podzemne_vode" TargetMode="External"/><Relationship Id="rId28" Type="http://schemas.openxmlformats.org/officeDocument/2006/relationships/hyperlink" Target="https://hr.wikipedia.org/wiki/Vegetacija" TargetMode="External"/><Relationship Id="rId36" Type="http://schemas.openxmlformats.org/officeDocument/2006/relationships/image" Target="media/image12.emf"/><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hr.wikipedia.org/wiki/Stabilnost" TargetMode="External"/><Relationship Id="rId31" Type="http://schemas.openxmlformats.org/officeDocument/2006/relationships/hyperlink" Target="https://hr.wikipedia.org/w/index.php?title=Sanacija&amp;action=edit&amp;redlink=1"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hr.wikipedia.org/w/index.php?title=Sloj&amp;action=edit&amp;redlink=1" TargetMode="External"/><Relationship Id="rId27" Type="http://schemas.openxmlformats.org/officeDocument/2006/relationships/hyperlink" Target="https://hr.wikipedia.org/wiki/Potres" TargetMode="External"/><Relationship Id="rId30" Type="http://schemas.openxmlformats.org/officeDocument/2006/relationships/hyperlink" Target="https://hr.wikipedia.org/wiki/Plasti%C4%8Dnost" TargetMode="External"/><Relationship Id="rId35" Type="http://schemas.openxmlformats.org/officeDocument/2006/relationships/hyperlink" Target="https://hr.wikipedia.org/wiki/Vegetacija" TargetMode="Externa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38</Pages>
  <Words>16009</Words>
  <Characters>91252</Characters>
  <Application>Microsoft Office Word</Application>
  <DocSecurity>0</DocSecurity>
  <Lines>760</Lines>
  <Paragraphs>214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dc:creator>
  <cp:lastModifiedBy>Danijela</cp:lastModifiedBy>
  <cp:revision>4</cp:revision>
  <dcterms:created xsi:type="dcterms:W3CDTF">2021-11-05T07:53:00Z</dcterms:created>
  <dcterms:modified xsi:type="dcterms:W3CDTF">2021-11-25T09:42:00Z</dcterms:modified>
</cp:coreProperties>
</file>